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4ED66">
      <w:pPr>
        <w:jc w:val="both"/>
        <w:rPr>
          <w:rFonts w:hint="eastAsia"/>
          <w:sz w:val="32"/>
          <w:szCs w:val="40"/>
          <w:lang w:val="en-US" w:eastAsia="zh-CN"/>
        </w:rPr>
      </w:pPr>
      <w:r>
        <w:rPr>
          <w:rFonts w:hint="eastAsia"/>
          <w:sz w:val="32"/>
          <w:szCs w:val="40"/>
          <w:lang w:val="en-US" w:eastAsia="zh-CN"/>
        </w:rPr>
        <w:t>项目关键内容公示：</w:t>
      </w:r>
    </w:p>
    <w:p w14:paraId="30E9711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spacing w:val="0"/>
          <w:w w:val="100"/>
          <w:sz w:val="24"/>
          <w:highlight w:val="none"/>
          <w:lang w:val="en-US" w:eastAsia="zh-CN"/>
        </w:rPr>
      </w:pPr>
      <w:r>
        <w:rPr>
          <w:rFonts w:hint="eastAsia" w:ascii="宋体" w:hAnsi="宋体" w:eastAsia="宋体" w:cs="宋体"/>
          <w:b/>
          <w:bCs/>
          <w:color w:val="auto"/>
          <w:spacing w:val="0"/>
          <w:w w:val="100"/>
          <w:sz w:val="24"/>
          <w:highlight w:val="none"/>
          <w:lang w:val="en-US" w:eastAsia="zh-CN"/>
        </w:rPr>
        <w:t>宝鸡市2025年普通干线公路重大水毁修复工程施工招标公告</w:t>
      </w:r>
    </w:p>
    <w:p w14:paraId="5784C32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spacing w:val="0"/>
          <w:w w:val="100"/>
          <w:sz w:val="24"/>
          <w:highlight w:val="none"/>
          <w:lang w:val="en-US" w:eastAsia="zh-CN"/>
        </w:rPr>
      </w:pPr>
      <w:r>
        <w:rPr>
          <w:rFonts w:hint="eastAsia" w:ascii="宋体" w:hAnsi="宋体" w:eastAsia="宋体" w:cs="宋体"/>
          <w:b/>
          <w:bCs/>
          <w:color w:val="auto"/>
          <w:spacing w:val="0"/>
          <w:w w:val="100"/>
          <w:sz w:val="24"/>
          <w:highlight w:val="none"/>
          <w:lang w:val="en-US" w:eastAsia="zh-CN"/>
        </w:rPr>
        <w:t>（招标编号：YC26001011（ZBD））</w:t>
      </w:r>
    </w:p>
    <w:p w14:paraId="37B92CBE">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jc w:val="both"/>
        <w:textAlignment w:val="baseline"/>
        <w:rPr>
          <w:rFonts w:hint="eastAsia" w:ascii="宋体" w:hAnsi="宋体" w:eastAsia="宋体" w:cs="宋体"/>
          <w:b w:val="0"/>
          <w:bCs w:val="0"/>
          <w:snapToGrid/>
          <w:color w:val="auto"/>
          <w:spacing w:val="0"/>
          <w:w w:val="100"/>
          <w:kern w:val="0"/>
          <w:position w:val="0"/>
          <w:sz w:val="24"/>
          <w:szCs w:val="24"/>
          <w:highlight w:val="none"/>
          <w:u w:val="none"/>
          <w:shd w:val="clear" w:color="auto" w:fill="FFFFFF"/>
          <w:lang w:val="en-US" w:eastAsia="zh-CN" w:bidi="ar"/>
        </w:rPr>
      </w:pPr>
      <w:r>
        <w:rPr>
          <w:rFonts w:hint="eastAsia" w:ascii="宋体" w:hAnsi="宋体" w:eastAsia="宋体" w:cs="宋体"/>
          <w:b w:val="0"/>
          <w:bCs w:val="0"/>
          <w:snapToGrid/>
          <w:color w:val="auto"/>
          <w:spacing w:val="0"/>
          <w:w w:val="100"/>
          <w:kern w:val="0"/>
          <w:position w:val="0"/>
          <w:sz w:val="24"/>
          <w:szCs w:val="24"/>
          <w:highlight w:val="none"/>
          <w:u w:val="none"/>
          <w:shd w:val="clear" w:color="auto" w:fill="FFFFFF"/>
          <w:lang w:val="en-US" w:eastAsia="zh-CN" w:bidi="ar"/>
        </w:rPr>
        <w:t>项目所在地区：陕西省，宝鸡市，</w:t>
      </w:r>
      <w:r>
        <w:rPr>
          <w:rFonts w:hint="eastAsia" w:ascii="宋体" w:hAnsi="宋体" w:cs="宋体"/>
          <w:b w:val="0"/>
          <w:bCs w:val="0"/>
          <w:snapToGrid/>
          <w:color w:val="auto"/>
          <w:spacing w:val="0"/>
          <w:w w:val="100"/>
          <w:kern w:val="0"/>
          <w:position w:val="0"/>
          <w:sz w:val="24"/>
          <w:szCs w:val="24"/>
          <w:highlight w:val="none"/>
          <w:u w:val="none"/>
          <w:shd w:val="clear" w:color="auto" w:fill="FFFFFF"/>
          <w:lang w:val="en-US" w:eastAsia="zh-CN" w:bidi="ar"/>
        </w:rPr>
        <w:t>市辖区</w:t>
      </w:r>
    </w:p>
    <w:p w14:paraId="3201F46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一、招标条件：</w:t>
      </w:r>
    </w:p>
    <w:p w14:paraId="1498ACA6">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44" w:firstLine="436"/>
        <w:jc w:val="both"/>
        <w:textAlignment w:val="baseline"/>
        <w:rPr>
          <w:rFonts w:hint="eastAsia" w:ascii="宋体" w:hAnsi="宋体" w:eastAsia="宋体" w:cs="宋体"/>
          <w:snapToGrid w:val="0"/>
          <w:color w:val="auto"/>
          <w:spacing w:val="0"/>
          <w:w w:val="100"/>
          <w:kern w:val="0"/>
          <w:position w:val="0"/>
          <w:sz w:val="24"/>
          <w:szCs w:val="24"/>
          <w:highlight w:val="none"/>
          <w:lang w:val="en-US" w:eastAsia="zh-CN" w:bidi="ar-SA"/>
        </w:rPr>
      </w:pPr>
      <w:r>
        <w:rPr>
          <w:rFonts w:hint="eastAsia" w:ascii="宋体" w:hAnsi="宋体" w:eastAsia="宋体" w:cs="宋体"/>
          <w:snapToGrid w:val="0"/>
          <w:color w:val="auto"/>
          <w:spacing w:val="0"/>
          <w:w w:val="100"/>
          <w:kern w:val="0"/>
          <w:position w:val="0"/>
          <w:sz w:val="24"/>
          <w:szCs w:val="24"/>
          <w:highlight w:val="none"/>
          <w:lang w:val="en-US" w:eastAsia="zh-CN" w:bidi="ar-SA"/>
        </w:rPr>
        <w:t>本</w:t>
      </w:r>
      <w:r>
        <w:rPr>
          <w:rFonts w:hint="eastAsia" w:ascii="宋体" w:hAnsi="宋体" w:cs="宋体"/>
          <w:snapToGrid w:val="0"/>
          <w:color w:val="auto"/>
          <w:spacing w:val="0"/>
          <w:w w:val="100"/>
          <w:kern w:val="0"/>
          <w:position w:val="0"/>
          <w:sz w:val="24"/>
          <w:szCs w:val="24"/>
          <w:highlight w:val="none"/>
          <w:lang w:val="en-US" w:eastAsia="zh-CN" w:bidi="ar-SA"/>
        </w:rPr>
        <w:t>宝鸡市2025年普通干线公路重大水毁修复工程施工</w:t>
      </w:r>
      <w:r>
        <w:rPr>
          <w:rFonts w:hint="eastAsia" w:ascii="宋体" w:hAnsi="宋体" w:eastAsia="宋体" w:cs="宋体"/>
          <w:snapToGrid w:val="0"/>
          <w:color w:val="auto"/>
          <w:spacing w:val="0"/>
          <w:w w:val="100"/>
          <w:kern w:val="0"/>
          <w:position w:val="0"/>
          <w:sz w:val="24"/>
          <w:szCs w:val="24"/>
          <w:highlight w:val="none"/>
          <w:lang w:val="en-US" w:eastAsia="zh-CN" w:bidi="ar-SA"/>
        </w:rPr>
        <w:t>已由项目审批/核准/备案机关批准，项目资金来源为</w:t>
      </w:r>
      <w:r>
        <w:rPr>
          <w:rFonts w:hint="eastAsia" w:ascii="宋体" w:hAnsi="宋体" w:cs="宋体"/>
          <w:snapToGrid w:val="0"/>
          <w:color w:val="auto"/>
          <w:spacing w:val="0"/>
          <w:w w:val="100"/>
          <w:kern w:val="0"/>
          <w:position w:val="0"/>
          <w:sz w:val="24"/>
          <w:szCs w:val="24"/>
          <w:highlight w:val="none"/>
          <w:lang w:val="en-US" w:eastAsia="zh-CN" w:bidi="ar-SA"/>
        </w:rPr>
        <w:t>上级补助资金</w:t>
      </w:r>
      <w:r>
        <w:rPr>
          <w:rFonts w:hint="eastAsia" w:ascii="宋体" w:hAnsi="宋体" w:eastAsia="宋体" w:cs="宋体"/>
          <w:snapToGrid w:val="0"/>
          <w:color w:val="auto"/>
          <w:spacing w:val="0"/>
          <w:w w:val="100"/>
          <w:kern w:val="0"/>
          <w:position w:val="0"/>
          <w:sz w:val="24"/>
          <w:szCs w:val="24"/>
          <w:highlight w:val="none"/>
          <w:lang w:val="en-US" w:eastAsia="zh-CN" w:bidi="ar-SA"/>
        </w:rPr>
        <w:t>，招标人为</w:t>
      </w:r>
      <w:r>
        <w:rPr>
          <w:rFonts w:hint="eastAsia" w:ascii="宋体" w:hAnsi="宋体" w:cs="宋体"/>
          <w:snapToGrid w:val="0"/>
          <w:color w:val="auto"/>
          <w:spacing w:val="0"/>
          <w:w w:val="100"/>
          <w:kern w:val="0"/>
          <w:position w:val="0"/>
          <w:sz w:val="24"/>
          <w:szCs w:val="24"/>
          <w:highlight w:val="none"/>
          <w:lang w:val="en-US" w:eastAsia="zh-CN" w:bidi="ar-SA"/>
        </w:rPr>
        <w:t>宝鸡市公路局</w:t>
      </w:r>
      <w:r>
        <w:rPr>
          <w:rFonts w:hint="eastAsia" w:ascii="宋体" w:hAnsi="宋体" w:eastAsia="宋体" w:cs="宋体"/>
          <w:snapToGrid w:val="0"/>
          <w:color w:val="auto"/>
          <w:spacing w:val="0"/>
          <w:w w:val="100"/>
          <w:kern w:val="0"/>
          <w:position w:val="0"/>
          <w:sz w:val="24"/>
          <w:szCs w:val="24"/>
          <w:highlight w:val="none"/>
          <w:lang w:val="en-US" w:eastAsia="zh-CN" w:bidi="ar-SA"/>
        </w:rPr>
        <w:t>。本项目已具备招标条件，现招标方式为公开招标。</w:t>
      </w:r>
    </w:p>
    <w:p w14:paraId="302BCEF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二、项目概况和招标范围：</w:t>
      </w:r>
    </w:p>
    <w:p w14:paraId="0FD0877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规模：主要针对G342线麟游段K1496+460-K1496+640；G342线凤县段K1652+160-K1652+236；G342线凤县段K1722+080-K1722+160；G244线陈仓段K891+060-K891+126；G244线太白段K946+935-K947+118；G344 线陇县段K1725+060-K1725+148；S219线凤县段K150+916-K151+300段 7处水毁点路基防护、边坡治理、路基沉陷、防护排水、安全设施及路面工程进行修复。</w:t>
      </w:r>
    </w:p>
    <w:p w14:paraId="167827A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范围：本招标项目划分为1个标段，本次招标为其中的：</w:t>
      </w:r>
    </w:p>
    <w:p w14:paraId="699C8D6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(001)宝鸡市2025年普通干线公路重大水毁修复工程施工；</w:t>
      </w:r>
    </w:p>
    <w:p w14:paraId="5E77AA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三、投标人资格要求：</w:t>
      </w:r>
    </w:p>
    <w:p w14:paraId="4207027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（001）宝鸡市2025年普通干线公路重大水毁修复工程施工投标人资格能力要求：</w:t>
      </w:r>
    </w:p>
    <w:p w14:paraId="300BC41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highlight w:val="none"/>
          <w:lang w:val="en-US" w:eastAsia="zh-CN"/>
        </w:rPr>
        <w:t xml:space="preserve">3.1 </w:t>
      </w:r>
      <w:r>
        <w:rPr>
          <w:rFonts w:hint="eastAsia" w:ascii="宋体" w:hAnsi="宋体" w:eastAsia="宋体" w:cs="宋体"/>
          <w:color w:val="auto"/>
          <w:spacing w:val="0"/>
          <w:w w:val="100"/>
          <w:position w:val="0"/>
          <w:sz w:val="24"/>
          <w:szCs w:val="24"/>
          <w:highlight w:val="none"/>
        </w:rPr>
        <w:t>本次招标要求投标人须具备有效且年检合格的营业执照、有效的安全生产许可证，同时具备</w:t>
      </w:r>
      <w:r>
        <w:rPr>
          <w:rFonts w:hint="eastAsia" w:ascii="宋体" w:hAnsi="宋体" w:eastAsia="宋体" w:cs="宋体"/>
          <w:color w:val="auto"/>
          <w:spacing w:val="0"/>
          <w:w w:val="100"/>
          <w:position w:val="0"/>
          <w:sz w:val="24"/>
          <w:szCs w:val="24"/>
          <w:highlight w:val="none"/>
          <w:lang w:val="en-US" w:eastAsia="zh-CN"/>
        </w:rPr>
        <w:t>路基路面养护乙级及以上资质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近</w:t>
      </w:r>
      <w:r>
        <w:rPr>
          <w:rFonts w:hint="eastAsia" w:ascii="宋体" w:hAnsi="宋体" w:eastAsia="宋体" w:cs="宋体"/>
          <w:color w:val="auto"/>
          <w:spacing w:val="0"/>
          <w:w w:val="100"/>
          <w:position w:val="0"/>
          <w:sz w:val="24"/>
          <w:szCs w:val="24"/>
          <w:highlight w:val="none"/>
          <w:lang w:val="en-US" w:eastAsia="zh-CN"/>
        </w:rPr>
        <w:t>三</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pacing w:val="0"/>
          <w:w w:val="100"/>
          <w:position w:val="0"/>
          <w:sz w:val="24"/>
          <w:szCs w:val="24"/>
          <w:highlight w:val="none"/>
          <w:lang w:eastAsia="zh-CN"/>
        </w:rPr>
        <w:t>202</w:t>
      </w:r>
      <w:r>
        <w:rPr>
          <w:rFonts w:hint="eastAsia" w:ascii="宋体" w:hAnsi="宋体" w:eastAsia="宋体" w:cs="宋体"/>
          <w:color w:val="auto"/>
          <w:spacing w:val="0"/>
          <w:w w:val="100"/>
          <w:position w:val="0"/>
          <w:sz w:val="24"/>
          <w:szCs w:val="24"/>
          <w:highlight w:val="none"/>
          <w:lang w:val="en-US" w:eastAsia="zh-CN"/>
        </w:rPr>
        <w:t>3</w:t>
      </w:r>
      <w:r>
        <w:rPr>
          <w:rFonts w:hint="eastAsia" w:ascii="宋体" w:hAnsi="宋体" w:eastAsia="宋体" w:cs="宋体"/>
          <w:color w:val="auto"/>
          <w:spacing w:val="0"/>
          <w:w w:val="100"/>
          <w:position w:val="0"/>
          <w:sz w:val="24"/>
          <w:szCs w:val="24"/>
          <w:highlight w:val="none"/>
          <w:lang w:eastAsia="zh-CN"/>
        </w:rPr>
        <w:t>年0</w:t>
      </w:r>
      <w:r>
        <w:rPr>
          <w:rFonts w:hint="eastAsia" w:ascii="宋体" w:hAnsi="宋体" w:eastAsia="宋体" w:cs="宋体"/>
          <w:color w:val="auto"/>
          <w:spacing w:val="0"/>
          <w:w w:val="100"/>
          <w:position w:val="0"/>
          <w:sz w:val="24"/>
          <w:szCs w:val="24"/>
          <w:highlight w:val="none"/>
          <w:lang w:val="en-US" w:eastAsia="zh-CN"/>
        </w:rPr>
        <w:t>5</w:t>
      </w:r>
      <w:r>
        <w:rPr>
          <w:rFonts w:hint="eastAsia" w:ascii="宋体" w:hAnsi="宋体" w:eastAsia="宋体" w:cs="宋体"/>
          <w:color w:val="auto"/>
          <w:spacing w:val="0"/>
          <w:w w:val="100"/>
          <w:position w:val="0"/>
          <w:sz w:val="24"/>
          <w:szCs w:val="24"/>
          <w:highlight w:val="none"/>
          <w:lang w:eastAsia="zh-CN"/>
        </w:rPr>
        <w:t>月至今，以交工时间为准</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eastAsia="zh-CN"/>
        </w:rPr>
        <w:t>完成不少于</w:t>
      </w:r>
      <w:r>
        <w:rPr>
          <w:rFonts w:hint="eastAsia" w:ascii="宋体" w:hAnsi="宋体" w:eastAsia="宋体" w:cs="宋体"/>
          <w:color w:val="auto"/>
          <w:spacing w:val="0"/>
          <w:w w:val="100"/>
          <w:position w:val="0"/>
          <w:sz w:val="24"/>
          <w:szCs w:val="24"/>
          <w:highlight w:val="none"/>
          <w:lang w:val="en-US" w:eastAsia="zh-CN"/>
        </w:rPr>
        <w:t>2项类似工程施工业绩，至少1项合同金额不少于1000万元，</w:t>
      </w:r>
      <w:r>
        <w:rPr>
          <w:rFonts w:hint="eastAsia" w:ascii="宋体" w:hAnsi="宋体" w:eastAsia="宋体" w:cs="宋体"/>
          <w:color w:val="auto"/>
          <w:spacing w:val="0"/>
          <w:w w:val="100"/>
          <w:position w:val="0"/>
          <w:sz w:val="24"/>
          <w:szCs w:val="24"/>
          <w:highlight w:val="none"/>
        </w:rPr>
        <w:t>以交通运输部“全国公路建设市场监督管理系统”或省级交通运输主管部门“公路建设市场信用信息系统”中查询到的企业“业绩信息”相关项目网页截图为准，并在人员、设备、资金等方面具备相应的施工能力。</w:t>
      </w:r>
    </w:p>
    <w:p w14:paraId="1B48BB9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3.2</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投标人拟派项目经理须持有公路工程专业</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二</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级</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及以上</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注册建造师执业资格</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和</w:t>
      </w: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有效的安全生产</w:t>
      </w:r>
      <w:r>
        <w:rPr>
          <w:rFonts w:hint="eastAsia" w:ascii="宋体" w:hAnsi="宋体" w:eastAsia="宋体" w:cs="宋体"/>
          <w:color w:val="auto"/>
          <w:spacing w:val="0"/>
          <w:w w:val="100"/>
          <w:position w:val="0"/>
          <w:sz w:val="24"/>
          <w:szCs w:val="24"/>
          <w:highlight w:val="none"/>
        </w:rPr>
        <w:t>考核合格证（交安 B 证），为本单位在职人员且无在建项目（须提供</w:t>
      </w:r>
      <w:r>
        <w:rPr>
          <w:rFonts w:hint="eastAsia" w:ascii="宋体" w:hAnsi="宋体" w:eastAsia="宋体" w:cs="宋体"/>
          <w:color w:val="auto"/>
          <w:spacing w:val="0"/>
          <w:w w:val="100"/>
          <w:position w:val="0"/>
          <w:sz w:val="24"/>
          <w:szCs w:val="24"/>
          <w:highlight w:val="none"/>
          <w:lang w:eastAsia="zh-CN"/>
        </w:rPr>
        <w:t>投标截止日前连续六个月</w:t>
      </w:r>
      <w:r>
        <w:rPr>
          <w:rFonts w:hint="eastAsia" w:ascii="宋体" w:hAnsi="宋体" w:eastAsia="宋体" w:cs="宋体"/>
          <w:color w:val="auto"/>
          <w:spacing w:val="0"/>
          <w:w w:val="100"/>
          <w:position w:val="0"/>
          <w:sz w:val="24"/>
          <w:szCs w:val="24"/>
          <w:highlight w:val="none"/>
        </w:rPr>
        <w:t>的加盖养老保险机构公章的养老保险缴纳证明和无在建承诺）；近</w:t>
      </w:r>
      <w:r>
        <w:rPr>
          <w:rFonts w:hint="eastAsia" w:ascii="宋体" w:hAnsi="宋体" w:eastAsia="宋体" w:cs="宋体"/>
          <w:color w:val="auto"/>
          <w:spacing w:val="0"/>
          <w:w w:val="100"/>
          <w:position w:val="0"/>
          <w:sz w:val="24"/>
          <w:szCs w:val="24"/>
          <w:highlight w:val="none"/>
          <w:lang w:val="en-US" w:eastAsia="zh-CN"/>
        </w:rPr>
        <w:t>三</w:t>
      </w:r>
      <w:r>
        <w:rPr>
          <w:rFonts w:hint="eastAsia" w:ascii="宋体" w:hAnsi="宋体" w:eastAsia="宋体" w:cs="宋体"/>
          <w:color w:val="auto"/>
          <w:spacing w:val="0"/>
          <w:w w:val="100"/>
          <w:position w:val="0"/>
          <w:sz w:val="24"/>
          <w:szCs w:val="24"/>
          <w:highlight w:val="none"/>
        </w:rPr>
        <w:t>年（</w:t>
      </w:r>
      <w:r>
        <w:rPr>
          <w:rFonts w:hint="eastAsia" w:ascii="宋体" w:hAnsi="宋体" w:eastAsia="宋体" w:cs="宋体"/>
          <w:color w:val="auto"/>
          <w:spacing w:val="0"/>
          <w:w w:val="100"/>
          <w:position w:val="0"/>
          <w:sz w:val="24"/>
          <w:szCs w:val="24"/>
          <w:highlight w:val="none"/>
          <w:lang w:eastAsia="zh-CN"/>
        </w:rPr>
        <w:t>202</w:t>
      </w:r>
      <w:r>
        <w:rPr>
          <w:rFonts w:hint="eastAsia" w:ascii="宋体" w:hAnsi="宋体" w:eastAsia="宋体" w:cs="宋体"/>
          <w:color w:val="auto"/>
          <w:spacing w:val="0"/>
          <w:w w:val="100"/>
          <w:position w:val="0"/>
          <w:sz w:val="24"/>
          <w:szCs w:val="24"/>
          <w:highlight w:val="none"/>
          <w:lang w:val="en-US" w:eastAsia="zh-CN"/>
        </w:rPr>
        <w:t>3</w:t>
      </w:r>
      <w:r>
        <w:rPr>
          <w:rFonts w:hint="eastAsia" w:ascii="宋体" w:hAnsi="宋体" w:eastAsia="宋体" w:cs="宋体"/>
          <w:color w:val="auto"/>
          <w:spacing w:val="0"/>
          <w:w w:val="100"/>
          <w:position w:val="0"/>
          <w:sz w:val="24"/>
          <w:szCs w:val="24"/>
          <w:highlight w:val="none"/>
          <w:lang w:eastAsia="zh-CN"/>
        </w:rPr>
        <w:t>年0</w:t>
      </w:r>
      <w:r>
        <w:rPr>
          <w:rFonts w:hint="eastAsia" w:ascii="宋体" w:hAnsi="宋体" w:eastAsia="宋体" w:cs="宋体"/>
          <w:color w:val="auto"/>
          <w:spacing w:val="0"/>
          <w:w w:val="100"/>
          <w:position w:val="0"/>
          <w:sz w:val="24"/>
          <w:szCs w:val="24"/>
          <w:highlight w:val="none"/>
          <w:lang w:val="en-US" w:eastAsia="zh-CN"/>
        </w:rPr>
        <w:t>5</w:t>
      </w:r>
      <w:r>
        <w:rPr>
          <w:rFonts w:hint="eastAsia" w:ascii="宋体" w:hAnsi="宋体" w:eastAsia="宋体" w:cs="宋体"/>
          <w:color w:val="auto"/>
          <w:spacing w:val="0"/>
          <w:w w:val="100"/>
          <w:position w:val="0"/>
          <w:sz w:val="24"/>
          <w:szCs w:val="24"/>
          <w:highlight w:val="none"/>
          <w:lang w:eastAsia="zh-CN"/>
        </w:rPr>
        <w:t>月至今，以交工时间为准</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eastAsia="zh-CN"/>
        </w:rPr>
        <w:t>完成不少于</w:t>
      </w:r>
      <w:r>
        <w:rPr>
          <w:rFonts w:hint="eastAsia" w:ascii="宋体" w:hAnsi="宋体" w:eastAsia="宋体" w:cs="宋体"/>
          <w:color w:val="auto"/>
          <w:spacing w:val="0"/>
          <w:w w:val="100"/>
          <w:position w:val="0"/>
          <w:sz w:val="24"/>
          <w:szCs w:val="24"/>
          <w:highlight w:val="none"/>
          <w:lang w:val="en-US" w:eastAsia="zh-CN"/>
        </w:rPr>
        <w:t>1项类似工程施工业绩。</w:t>
      </w:r>
      <w:r>
        <w:rPr>
          <w:rFonts w:hint="eastAsia" w:ascii="宋体" w:hAnsi="宋体" w:eastAsia="宋体" w:cs="宋体"/>
          <w:color w:val="auto"/>
          <w:spacing w:val="0"/>
          <w:w w:val="100"/>
          <w:position w:val="0"/>
          <w:sz w:val="24"/>
          <w:szCs w:val="24"/>
          <w:highlight w:val="none"/>
        </w:rPr>
        <w:t>以交通运输部“全国公路建设市场监督管理系统 ”或省级交通运输主管部门“公路建设市场信用信息系统”中查询到的</w:t>
      </w:r>
      <w:r>
        <w:rPr>
          <w:rFonts w:hint="eastAsia" w:ascii="宋体" w:hAnsi="宋体" w:eastAsia="宋体" w:cs="宋体"/>
          <w:color w:val="auto"/>
          <w:spacing w:val="0"/>
          <w:w w:val="100"/>
          <w:position w:val="0"/>
          <w:sz w:val="24"/>
          <w:szCs w:val="24"/>
          <w:highlight w:val="none"/>
          <w:lang w:val="en-US" w:eastAsia="zh-CN"/>
        </w:rPr>
        <w:t>项目经理</w:t>
      </w:r>
      <w:r>
        <w:rPr>
          <w:rFonts w:hint="eastAsia" w:ascii="宋体" w:hAnsi="宋体" w:eastAsia="宋体" w:cs="宋体"/>
          <w:color w:val="auto"/>
          <w:spacing w:val="0"/>
          <w:w w:val="100"/>
          <w:position w:val="0"/>
          <w:sz w:val="24"/>
          <w:szCs w:val="24"/>
          <w:highlight w:val="none"/>
        </w:rPr>
        <w:t>“业绩信息”相关项目网页截图为准</w:t>
      </w:r>
      <w:r>
        <w:rPr>
          <w:rFonts w:hint="eastAsia" w:ascii="宋体" w:hAnsi="宋体" w:eastAsia="宋体" w:cs="宋体"/>
          <w:b w:val="0"/>
          <w:bCs w:val="0"/>
          <w:color w:val="auto"/>
          <w:spacing w:val="0"/>
          <w:w w:val="100"/>
          <w:position w:val="0"/>
          <w:sz w:val="24"/>
          <w:highlight w:val="none"/>
          <w:lang w:val="en-US" w:eastAsia="zh-CN"/>
        </w:rPr>
        <w:t>。</w:t>
      </w:r>
    </w:p>
    <w:p w14:paraId="594CC30A">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3.3</w:t>
      </w:r>
      <w:r>
        <w:rPr>
          <w:rFonts w:hint="eastAsia" w:ascii="宋体" w:hAnsi="宋体" w:eastAsia="宋体" w:cs="宋体"/>
          <w:color w:val="auto"/>
          <w:spacing w:val="0"/>
          <w:w w:val="100"/>
          <w:position w:val="0"/>
          <w:sz w:val="24"/>
          <w:highlight w:val="none"/>
          <w:lang w:val="en-US" w:eastAsia="zh-CN"/>
        </w:rPr>
        <w:t>近三年</w:t>
      </w:r>
      <w:r>
        <w:rPr>
          <w:rFonts w:hint="eastAsia" w:ascii="宋体" w:hAnsi="宋体" w:eastAsia="宋体" w:cs="宋体"/>
          <w:b w:val="0"/>
          <w:bCs w:val="0"/>
          <w:color w:val="auto"/>
          <w:spacing w:val="0"/>
          <w:w w:val="100"/>
          <w:position w:val="0"/>
          <w:sz w:val="24"/>
          <w:highlight w:val="none"/>
          <w:lang w:val="en-US" w:eastAsia="zh-CN"/>
        </w:rPr>
        <w:t>财务状况良好，提供2022年-2024年度或2023年-2025年度的完整财务审计报告（新成立的公司根据成立年限提供）。</w:t>
      </w:r>
    </w:p>
    <w:p w14:paraId="10BE8B6D">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3.4投标人应进入交通运输部“全国公路建设市场监督管理系统（https://hwdms.mot.gov.cn/）”</w:t>
      </w:r>
      <w:r>
        <w:rPr>
          <w:rFonts w:hint="eastAsia" w:ascii="宋体" w:hAnsi="宋体" w:eastAsia="宋体" w:cs="宋体"/>
          <w:color w:val="auto"/>
          <w:spacing w:val="0"/>
          <w:w w:val="100"/>
          <w:position w:val="0"/>
          <w:sz w:val="24"/>
          <w:szCs w:val="24"/>
          <w:highlight w:val="none"/>
        </w:rPr>
        <w:t>或省级交通运输主管部门“公路建设市场信用信息系统”</w:t>
      </w:r>
      <w:r>
        <w:rPr>
          <w:rFonts w:hint="eastAsia" w:ascii="宋体" w:hAnsi="宋体" w:eastAsia="宋体" w:cs="宋体"/>
          <w:b w:val="0"/>
          <w:bCs w:val="0"/>
          <w:color w:val="auto"/>
          <w:spacing w:val="0"/>
          <w:w w:val="100"/>
          <w:position w:val="0"/>
          <w:sz w:val="24"/>
          <w:highlight w:val="none"/>
          <w:lang w:val="en-US" w:eastAsia="zh-CN"/>
        </w:rPr>
        <w:t>中的公路工程施工资质企业名录，且投标人名称和资质与该名录中的相应企业名称和资质完全一致。</w:t>
      </w:r>
    </w:p>
    <w:p w14:paraId="1F04668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3.5在“信用中国”网站（http://www.creditchina.gov.cn/）中被列入失信被执行人名单的投标人，不得参加投标。</w:t>
      </w:r>
    </w:p>
    <w:p w14:paraId="2504385C">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3.6投标人、法定代表人、拟派项目经理近三年（2023年05月至今）有行贿犯罪记录的不得参与本次投标（以“中国裁判文书网”http://wenshu.court.gov.cn/)查询截图为准。</w:t>
      </w:r>
    </w:p>
    <w:p w14:paraId="3A70B354">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3.7在国家企业信用信息公示系统中列入严重违法失信企业名单的投标人，不得参加投标。</w:t>
      </w:r>
    </w:p>
    <w:p w14:paraId="308B12E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3.8 与招标人存在利害关系可能影响招标公正性的单位，不得参加投标。单位负责人为同一人或存在控股、管理关系的不同单位，不得参加同一标段投标，否则，相关投标均无效。</w:t>
      </w:r>
    </w:p>
    <w:p w14:paraId="165E922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highlight w:val="none"/>
          <w:lang w:val="en-US" w:eastAsia="zh-CN"/>
        </w:rPr>
        <w:t>本次招标不接受联合体投标。</w:t>
      </w:r>
    </w:p>
    <w:p w14:paraId="3D6D84B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宋体" w:hAnsi="宋体" w:eastAsia="宋体" w:cs="宋体"/>
          <w:b/>
          <w:bCs/>
          <w:color w:val="auto"/>
          <w:spacing w:val="0"/>
          <w:w w:val="100"/>
          <w:position w:val="0"/>
          <w:sz w:val="24"/>
          <w:highlight w:val="none"/>
          <w:lang w:val="en-US" w:eastAsia="zh-CN"/>
        </w:rPr>
      </w:pPr>
      <w:r>
        <w:rPr>
          <w:rFonts w:hint="eastAsia" w:ascii="宋体" w:hAnsi="宋体" w:eastAsia="宋体" w:cs="宋体"/>
          <w:b/>
          <w:bCs/>
          <w:color w:val="auto"/>
          <w:spacing w:val="0"/>
          <w:w w:val="100"/>
          <w:position w:val="0"/>
          <w:sz w:val="24"/>
          <w:highlight w:val="none"/>
          <w:lang w:val="en-US" w:eastAsia="zh-CN"/>
        </w:rPr>
        <w:t>四、招标文件的获取：</w:t>
      </w:r>
    </w:p>
    <w:p w14:paraId="4CDC1E1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获取时间：</w:t>
      </w:r>
      <w:r>
        <w:rPr>
          <w:rFonts w:hint="eastAsia" w:ascii="宋体" w:hAnsi="宋体" w:eastAsia="宋体" w:cs="宋体"/>
          <w:b w:val="0"/>
          <w:bCs w:val="0"/>
          <w:color w:val="000000"/>
          <w:spacing w:val="0"/>
          <w:position w:val="0"/>
          <w:sz w:val="24"/>
          <w:highlight w:val="none"/>
          <w:lang w:val="en-US" w:eastAsia="zh-CN"/>
        </w:rPr>
        <w:t>从2026年06月04日00时00分 至2026年06月11日00时00分</w:t>
      </w:r>
    </w:p>
    <w:p w14:paraId="3F6658C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获取方式：凡有意参加投标者，请于 2026年06月04日00时00分至2026年 06月11日00时00分（纸质标书发售期内每日12时至14时休息），在陕西省宝鸡市金台区陈仓大道8号院2幢13楼05室持单位介绍信和经办人身份证及网上投标确认购买招标文件。</w:t>
      </w:r>
      <w:bookmarkStart w:id="3" w:name="_GoBack"/>
      <w:bookmarkEnd w:id="3"/>
    </w:p>
    <w:p w14:paraId="6E3DC05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宋体" w:hAnsi="宋体" w:eastAsia="宋体" w:cs="宋体"/>
          <w:b/>
          <w:bCs/>
          <w:color w:val="auto"/>
          <w:spacing w:val="0"/>
          <w:w w:val="100"/>
          <w:position w:val="0"/>
          <w:sz w:val="24"/>
          <w:highlight w:val="none"/>
          <w:lang w:val="en-US" w:eastAsia="zh-CN"/>
        </w:rPr>
      </w:pPr>
      <w:r>
        <w:rPr>
          <w:rFonts w:hint="eastAsia" w:ascii="宋体" w:hAnsi="宋体" w:eastAsia="宋体" w:cs="宋体"/>
          <w:b/>
          <w:bCs/>
          <w:color w:val="auto"/>
          <w:spacing w:val="0"/>
          <w:w w:val="100"/>
          <w:position w:val="0"/>
          <w:sz w:val="24"/>
          <w:highlight w:val="none"/>
          <w:lang w:val="en-US" w:eastAsia="zh-CN"/>
        </w:rPr>
        <w:t xml:space="preserve">五、投标文件的递交： </w:t>
      </w:r>
    </w:p>
    <w:p w14:paraId="38C9E0B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递交截止时间：2026年06月25日09时00分</w:t>
      </w:r>
    </w:p>
    <w:p w14:paraId="149C0CF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递交方式：全国公共资源交易平台（陕西省·宝鸡市）电子文件上传递交及宝鸡市公共资源交易中心纸质文件递交。</w:t>
      </w:r>
    </w:p>
    <w:p w14:paraId="22CE9D8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宋体" w:hAnsi="宋体" w:eastAsia="宋体" w:cs="宋体"/>
          <w:b/>
          <w:bCs/>
          <w:color w:val="auto"/>
          <w:spacing w:val="0"/>
          <w:w w:val="100"/>
          <w:position w:val="0"/>
          <w:sz w:val="24"/>
          <w:highlight w:val="none"/>
          <w:lang w:val="en-US" w:eastAsia="zh-CN"/>
        </w:rPr>
      </w:pPr>
      <w:r>
        <w:rPr>
          <w:rFonts w:hint="eastAsia" w:ascii="宋体" w:hAnsi="宋体" w:eastAsia="宋体" w:cs="宋体"/>
          <w:b/>
          <w:bCs/>
          <w:color w:val="auto"/>
          <w:spacing w:val="0"/>
          <w:w w:val="100"/>
          <w:position w:val="0"/>
          <w:sz w:val="24"/>
          <w:highlight w:val="none"/>
          <w:lang w:val="en-US" w:eastAsia="zh-CN"/>
        </w:rPr>
        <w:t>六、开标时间及地点：</w:t>
      </w:r>
    </w:p>
    <w:p w14:paraId="01D245F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开标时间：2026年 06月 25日09时00分</w:t>
      </w:r>
    </w:p>
    <w:p w14:paraId="6C0AB8B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开标地点：宝鸡市公共资源交易中心（</w:t>
      </w:r>
      <w:r>
        <w:rPr>
          <w:rFonts w:hint="eastAsia" w:ascii="宋体" w:hAnsi="宋体" w:eastAsia="宋体" w:cs="宋体"/>
          <w:snapToGrid w:val="0"/>
          <w:color w:val="auto"/>
          <w:kern w:val="0"/>
          <w:sz w:val="24"/>
          <w:szCs w:val="24"/>
          <w:highlight w:val="none"/>
          <w:lang w:val="en-US" w:eastAsia="zh-CN" w:bidi="ar"/>
        </w:rPr>
        <w:t>具体开标室以四楼大厅公示信息为准</w:t>
      </w:r>
      <w:r>
        <w:rPr>
          <w:rFonts w:hint="eastAsia" w:ascii="宋体" w:hAnsi="宋体" w:eastAsia="宋体" w:cs="宋体"/>
          <w:b w:val="0"/>
          <w:bCs w:val="0"/>
          <w:color w:val="auto"/>
          <w:spacing w:val="0"/>
          <w:w w:val="100"/>
          <w:position w:val="0"/>
          <w:sz w:val="24"/>
          <w:highlight w:val="none"/>
          <w:lang w:val="en-US" w:eastAsia="zh-CN"/>
        </w:rPr>
        <w:t>）</w:t>
      </w:r>
    </w:p>
    <w:p w14:paraId="1F9776E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宋体" w:hAnsi="宋体" w:eastAsia="宋体" w:cs="宋体"/>
          <w:b/>
          <w:bCs/>
          <w:color w:val="auto"/>
          <w:spacing w:val="0"/>
          <w:w w:val="100"/>
          <w:position w:val="0"/>
          <w:sz w:val="24"/>
          <w:highlight w:val="none"/>
          <w:lang w:val="en-US" w:eastAsia="zh-CN"/>
        </w:rPr>
      </w:pPr>
      <w:r>
        <w:rPr>
          <w:rFonts w:hint="eastAsia" w:ascii="宋体" w:hAnsi="宋体" w:eastAsia="宋体" w:cs="宋体"/>
          <w:b/>
          <w:bCs/>
          <w:color w:val="auto"/>
          <w:spacing w:val="0"/>
          <w:w w:val="100"/>
          <w:position w:val="0"/>
          <w:sz w:val="24"/>
          <w:highlight w:val="none"/>
          <w:lang w:val="en-US" w:eastAsia="zh-CN"/>
        </w:rPr>
        <w:t>七、其他：</w:t>
      </w:r>
    </w:p>
    <w:p w14:paraId="0BD52E8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1.招标文件每套售价0 元，图纸每套售价：2000.00 元，招标人根据对本合同工程勘察所取得的水文、地质、气象和料场分布、取土场、弃土场位置等资料编制的参考资料每套售价0元， 售后不退。</w:t>
      </w:r>
    </w:p>
    <w:p w14:paraId="46C9B9B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2.为保证投标业务正常开展，投标人需在获取招标文件规定的时间内使用捆绑省交易平台的CA锁登录全国公共资源交易平台（陕西省·宝鸡市）（http://ggzy.baoji.gov.cn/），选择电子交易平台，通过陕西工程建设交易系统-广联达工程建设交易系统，选择“立即注册”，并完善相关投标信息，办理地点为（宝鸡市公共资源交易中心4楼2号窗口），办理CA数字证书具体流程见陕西省工程建设交易（广联达）系统操作引导指南。</w:t>
      </w:r>
    </w:p>
    <w:p w14:paraId="4EF1737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3.本次招标公告在《陕西采购与招标网》、《全国公共资源交易平台（陕西省·宝鸡市）》、 《宝鸡市交通运输局（http://jtysj.baoji.gov.cn/）》上同时发布。</w:t>
      </w:r>
    </w:p>
    <w:p w14:paraId="781C347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4.投标人须在陕西省公共资源交易中心网站企业诚信管理系统（www.sxggzyjy.cn）中登记企业信息，并登陆全国公共资源交易平台（陕西省·宝鸡市）(http://ggzy.baoji.gov.cn/)下载、查看电子版的招标文件及其他文件。</w:t>
      </w:r>
    </w:p>
    <w:p w14:paraId="5336A57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5.开标的时候必须携带加密锁(公司CA锁)。</w:t>
      </w:r>
    </w:p>
    <w:p w14:paraId="45E1918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6.投标人需在规定时间内完成相关投标前期事项的办理，因投标人原因未能按时完成相关工作办理导致无法投标，投标人自行负责。</w:t>
      </w:r>
    </w:p>
    <w:p w14:paraId="12ABC60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auto"/>
        <w:rPr>
          <w:rFonts w:hint="default"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7.本项目招标代理机构负责人为：张俊玲</w:t>
      </w:r>
    </w:p>
    <w:p w14:paraId="41934CB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宋体" w:hAnsi="宋体" w:eastAsia="宋体" w:cs="宋体"/>
          <w:b/>
          <w:bCs/>
          <w:color w:val="auto"/>
          <w:spacing w:val="0"/>
          <w:w w:val="100"/>
          <w:position w:val="0"/>
          <w:sz w:val="24"/>
          <w:highlight w:val="none"/>
          <w:lang w:val="en-US" w:eastAsia="zh-CN"/>
        </w:rPr>
      </w:pPr>
      <w:r>
        <w:rPr>
          <w:rFonts w:hint="eastAsia" w:ascii="宋体" w:hAnsi="宋体" w:eastAsia="宋体" w:cs="宋体"/>
          <w:b/>
          <w:bCs/>
          <w:color w:val="auto"/>
          <w:spacing w:val="0"/>
          <w:w w:val="100"/>
          <w:position w:val="0"/>
          <w:sz w:val="24"/>
          <w:highlight w:val="none"/>
          <w:lang w:val="en-US" w:eastAsia="zh-CN"/>
        </w:rPr>
        <w:t>八、监督部门</w:t>
      </w:r>
    </w:p>
    <w:p w14:paraId="4232EED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pacing w:val="0"/>
          <w:w w:val="100"/>
          <w:position w:val="0"/>
          <w:sz w:val="24"/>
          <w:highlight w:val="none"/>
          <w:lang w:val="en-US" w:eastAsia="zh-CN"/>
        </w:rPr>
      </w:pPr>
      <w:r>
        <w:rPr>
          <w:rFonts w:hint="eastAsia" w:ascii="宋体" w:hAnsi="宋体" w:eastAsia="宋体" w:cs="宋体"/>
          <w:b w:val="0"/>
          <w:bCs w:val="0"/>
          <w:color w:val="auto"/>
          <w:spacing w:val="0"/>
          <w:w w:val="100"/>
          <w:position w:val="0"/>
          <w:sz w:val="24"/>
          <w:highlight w:val="none"/>
          <w:lang w:val="en-US" w:eastAsia="zh-CN"/>
        </w:rPr>
        <w:t xml:space="preserve">  本招标项目的监督部门为：</w:t>
      </w:r>
      <w:r>
        <w:rPr>
          <w:rFonts w:hint="eastAsia" w:ascii="宋体" w:hAnsi="宋体" w:eastAsia="宋体" w:cs="宋体"/>
          <w:color w:val="auto"/>
          <w:spacing w:val="0"/>
          <w:w w:val="100"/>
          <w:position w:val="0"/>
          <w:sz w:val="24"/>
          <w:szCs w:val="24"/>
          <w:highlight w:val="none"/>
          <w:lang w:eastAsia="zh-CN"/>
        </w:rPr>
        <w:t>宝鸡市交通运输局</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lang w:eastAsia="zh-CN"/>
        </w:rPr>
        <w:t>联系电话：0917-3806385</w:t>
      </w:r>
    </w:p>
    <w:p w14:paraId="67F3B5B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宋体" w:hAnsi="宋体" w:eastAsia="宋体" w:cs="宋体"/>
          <w:b/>
          <w:bCs/>
          <w:color w:val="auto"/>
          <w:spacing w:val="0"/>
          <w:w w:val="100"/>
          <w:position w:val="0"/>
          <w:sz w:val="24"/>
          <w:highlight w:val="none"/>
          <w:lang w:val="en-US" w:eastAsia="zh-CN"/>
        </w:rPr>
      </w:pPr>
      <w:r>
        <w:rPr>
          <w:rFonts w:hint="eastAsia" w:ascii="宋体" w:hAnsi="宋体" w:eastAsia="宋体" w:cs="宋体"/>
          <w:b/>
          <w:bCs/>
          <w:color w:val="auto"/>
          <w:spacing w:val="0"/>
          <w:w w:val="100"/>
          <w:kern w:val="2"/>
          <w:position w:val="0"/>
          <w:sz w:val="24"/>
          <w:szCs w:val="24"/>
          <w:highlight w:val="none"/>
          <w:lang w:val="en-US" w:eastAsia="zh-CN" w:bidi="ar-SA"/>
        </w:rPr>
        <w:t>九、</w:t>
      </w:r>
      <w:r>
        <w:rPr>
          <w:rFonts w:hint="eastAsia" w:ascii="宋体" w:hAnsi="宋体" w:eastAsia="宋体" w:cs="宋体"/>
          <w:b/>
          <w:bCs/>
          <w:color w:val="auto"/>
          <w:spacing w:val="0"/>
          <w:w w:val="100"/>
          <w:position w:val="0"/>
          <w:sz w:val="24"/>
          <w:highlight w:val="none"/>
          <w:lang w:val="en-US" w:eastAsia="zh-CN"/>
        </w:rPr>
        <w:t>联系方式</w:t>
      </w:r>
    </w:p>
    <w:p w14:paraId="3CA463A1">
      <w:pPr>
        <w:keepNext w:val="0"/>
        <w:keepLines w:val="0"/>
        <w:pageBreakBefore w:val="0"/>
        <w:widowControl w:val="0"/>
        <w:kinsoku/>
        <w:wordWrap/>
        <w:overflowPunct/>
        <w:topLinePunct w:val="0"/>
        <w:autoSpaceDE/>
        <w:autoSpaceDN/>
        <w:bidi w:val="0"/>
        <w:adjustRightInd/>
        <w:snapToGrid w:val="0"/>
        <w:spacing w:line="560" w:lineRule="exact"/>
        <w:ind w:firstLine="240" w:firstLineChars="100"/>
        <w:textAlignment w:val="auto"/>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rPr>
        <w:t>建设单位：</w:t>
      </w:r>
      <w:r>
        <w:rPr>
          <w:rFonts w:hint="eastAsia" w:ascii="宋体" w:hAnsi="宋体" w:eastAsia="宋体" w:cs="宋体"/>
          <w:color w:val="auto"/>
          <w:spacing w:val="0"/>
          <w:w w:val="100"/>
          <w:position w:val="0"/>
          <w:sz w:val="24"/>
          <w:szCs w:val="24"/>
          <w:highlight w:val="none"/>
          <w:lang w:eastAsia="zh-CN"/>
        </w:rPr>
        <w:t>宝鸡市公路局</w:t>
      </w:r>
      <w:r>
        <w:rPr>
          <w:rFonts w:hint="eastAsia" w:ascii="宋体" w:hAnsi="宋体" w:eastAsia="宋体" w:cs="宋体"/>
          <w:color w:val="auto"/>
          <w:spacing w:val="0"/>
          <w:w w:val="100"/>
          <w:position w:val="0"/>
          <w:sz w:val="24"/>
          <w:highlight w:val="none"/>
          <w:lang w:val="en-US" w:eastAsia="zh-CN"/>
        </w:rPr>
        <w:t xml:space="preserve"> </w:t>
      </w:r>
      <w:r>
        <w:rPr>
          <w:rFonts w:hint="eastAsia" w:ascii="宋体" w:hAnsi="宋体" w:eastAsia="宋体" w:cs="宋体"/>
          <w:color w:val="auto"/>
          <w:spacing w:val="0"/>
          <w:w w:val="100"/>
          <w:position w:val="0"/>
          <w:sz w:val="24"/>
          <w:highlight w:val="none"/>
        </w:rPr>
        <w:t xml:space="preserve">    </w:t>
      </w:r>
    </w:p>
    <w:p w14:paraId="49DBFD8F">
      <w:pPr>
        <w:keepNext w:val="0"/>
        <w:keepLines w:val="0"/>
        <w:pageBreakBefore w:val="0"/>
        <w:widowControl w:val="0"/>
        <w:kinsoku/>
        <w:wordWrap/>
        <w:overflowPunct/>
        <w:topLinePunct w:val="0"/>
        <w:autoSpaceDE/>
        <w:autoSpaceDN/>
        <w:bidi w:val="0"/>
        <w:adjustRightInd/>
        <w:snapToGrid w:val="0"/>
        <w:spacing w:line="560" w:lineRule="exact"/>
        <w:ind w:firstLine="240" w:firstLineChars="100"/>
        <w:textAlignment w:val="auto"/>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rPr>
        <w:t>地</w:t>
      </w:r>
      <w:r>
        <w:rPr>
          <w:rFonts w:hint="eastAsia" w:ascii="宋体" w:hAnsi="宋体" w:eastAsia="宋体" w:cs="宋体"/>
          <w:color w:val="auto"/>
          <w:spacing w:val="0"/>
          <w:w w:val="100"/>
          <w:position w:val="0"/>
          <w:sz w:val="24"/>
          <w:highlight w:val="none"/>
          <w:lang w:val="en-US" w:eastAsia="zh-CN"/>
        </w:rPr>
        <w:t xml:space="preserve">    </w:t>
      </w:r>
      <w:r>
        <w:rPr>
          <w:rFonts w:hint="eastAsia" w:ascii="宋体" w:hAnsi="宋体" w:eastAsia="宋体" w:cs="宋体"/>
          <w:color w:val="auto"/>
          <w:spacing w:val="0"/>
          <w:w w:val="100"/>
          <w:position w:val="0"/>
          <w:sz w:val="24"/>
          <w:highlight w:val="none"/>
        </w:rPr>
        <w:t>址：</w:t>
      </w:r>
      <w:r>
        <w:rPr>
          <w:rFonts w:hint="eastAsia" w:ascii="宋体" w:hAnsi="宋体" w:eastAsia="宋体" w:cs="宋体"/>
          <w:color w:val="auto"/>
          <w:spacing w:val="0"/>
          <w:w w:val="100"/>
          <w:position w:val="0"/>
          <w:sz w:val="24"/>
          <w:szCs w:val="24"/>
          <w:highlight w:val="none"/>
          <w:lang w:eastAsia="zh-CN"/>
        </w:rPr>
        <w:t>宝鸡市火炬路东段13号</w:t>
      </w:r>
      <w:r>
        <w:rPr>
          <w:rFonts w:hint="eastAsia" w:ascii="宋体" w:hAnsi="宋体" w:eastAsia="宋体" w:cs="宋体"/>
          <w:color w:val="auto"/>
          <w:spacing w:val="0"/>
          <w:w w:val="100"/>
          <w:position w:val="0"/>
          <w:sz w:val="24"/>
          <w:highlight w:val="none"/>
        </w:rPr>
        <w:t xml:space="preserve"> </w:t>
      </w:r>
    </w:p>
    <w:p w14:paraId="6A799E3C">
      <w:pPr>
        <w:keepNext w:val="0"/>
        <w:keepLines w:val="0"/>
        <w:pageBreakBefore w:val="0"/>
        <w:widowControl w:val="0"/>
        <w:kinsoku/>
        <w:wordWrap/>
        <w:overflowPunct/>
        <w:topLinePunct w:val="0"/>
        <w:autoSpaceDE/>
        <w:autoSpaceDN/>
        <w:bidi w:val="0"/>
        <w:adjustRightInd/>
        <w:snapToGrid w:val="0"/>
        <w:spacing w:line="560" w:lineRule="exact"/>
        <w:ind w:firstLine="240" w:firstLineChars="100"/>
        <w:textAlignment w:val="auto"/>
        <w:rPr>
          <w:rFonts w:hint="eastAsia" w:ascii="宋体" w:hAnsi="宋体" w:eastAsia="宋体" w:cs="宋体"/>
          <w:color w:val="auto"/>
          <w:spacing w:val="0"/>
          <w:w w:val="100"/>
          <w:position w:val="0"/>
          <w:sz w:val="24"/>
          <w:highlight w:val="none"/>
          <w:lang w:val="en-US" w:eastAsia="zh-CN"/>
        </w:rPr>
      </w:pPr>
      <w:r>
        <w:rPr>
          <w:rFonts w:hint="eastAsia" w:ascii="宋体" w:hAnsi="宋体" w:eastAsia="宋体" w:cs="宋体"/>
          <w:color w:val="auto"/>
          <w:spacing w:val="0"/>
          <w:w w:val="100"/>
          <w:position w:val="0"/>
          <w:sz w:val="24"/>
          <w:highlight w:val="none"/>
        </w:rPr>
        <w:t>联 系 人：</w:t>
      </w:r>
      <w:r>
        <w:rPr>
          <w:rFonts w:hint="eastAsia" w:ascii="宋体" w:hAnsi="宋体" w:eastAsia="宋体" w:cs="宋体"/>
          <w:color w:val="auto"/>
          <w:spacing w:val="0"/>
          <w:w w:val="100"/>
          <w:position w:val="0"/>
          <w:sz w:val="24"/>
          <w:szCs w:val="24"/>
          <w:highlight w:val="none"/>
          <w:lang w:eastAsia="zh-CN"/>
        </w:rPr>
        <w:t>石利军</w:t>
      </w:r>
      <w:r>
        <w:rPr>
          <w:rFonts w:hint="eastAsia" w:ascii="宋体" w:hAnsi="宋体" w:eastAsia="宋体" w:cs="宋体"/>
          <w:color w:val="auto"/>
          <w:spacing w:val="0"/>
          <w:w w:val="100"/>
          <w:position w:val="0"/>
          <w:sz w:val="24"/>
          <w:highlight w:val="none"/>
        </w:rPr>
        <w:t xml:space="preserve"> </w:t>
      </w:r>
      <w:r>
        <w:rPr>
          <w:rFonts w:hint="eastAsia" w:ascii="宋体" w:hAnsi="宋体" w:eastAsia="宋体" w:cs="宋体"/>
          <w:color w:val="auto"/>
          <w:spacing w:val="0"/>
          <w:w w:val="100"/>
          <w:position w:val="0"/>
          <w:sz w:val="24"/>
          <w:highlight w:val="none"/>
          <w:lang w:val="en-US" w:eastAsia="zh-CN"/>
        </w:rPr>
        <w:t xml:space="preserve"> </w:t>
      </w:r>
    </w:p>
    <w:p w14:paraId="48040D6A">
      <w:pPr>
        <w:keepNext w:val="0"/>
        <w:keepLines w:val="0"/>
        <w:pageBreakBefore w:val="0"/>
        <w:widowControl w:val="0"/>
        <w:kinsoku/>
        <w:wordWrap/>
        <w:overflowPunct/>
        <w:topLinePunct w:val="0"/>
        <w:autoSpaceDE/>
        <w:autoSpaceDN/>
        <w:bidi w:val="0"/>
        <w:adjustRightInd/>
        <w:snapToGrid w:val="0"/>
        <w:spacing w:line="560" w:lineRule="exact"/>
        <w:ind w:firstLine="240" w:firstLineChars="100"/>
        <w:textAlignment w:val="auto"/>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highlight w:val="none"/>
          <w:lang w:val="en-US" w:eastAsia="zh-CN"/>
        </w:rPr>
        <w:t>电     话：</w:t>
      </w:r>
      <w:r>
        <w:rPr>
          <w:rFonts w:hint="eastAsia" w:ascii="宋体" w:hAnsi="宋体" w:eastAsia="宋体" w:cs="宋体"/>
          <w:color w:val="auto"/>
          <w:spacing w:val="0"/>
          <w:w w:val="100"/>
          <w:position w:val="0"/>
          <w:sz w:val="24"/>
          <w:szCs w:val="24"/>
          <w:highlight w:val="none"/>
          <w:lang w:eastAsia="zh-CN"/>
        </w:rPr>
        <w:t>0917-3304775</w:t>
      </w:r>
    </w:p>
    <w:p w14:paraId="6A898C7E">
      <w:pPr>
        <w:keepNext w:val="0"/>
        <w:keepLines w:val="0"/>
        <w:pageBreakBefore w:val="0"/>
        <w:widowControl w:val="0"/>
        <w:kinsoku/>
        <w:wordWrap/>
        <w:overflowPunct/>
        <w:topLinePunct w:val="0"/>
        <w:autoSpaceDE/>
        <w:autoSpaceDN/>
        <w:bidi w:val="0"/>
        <w:adjustRightInd/>
        <w:snapToGrid w:val="0"/>
        <w:spacing w:line="560" w:lineRule="exact"/>
        <w:ind w:firstLine="240" w:firstLineChars="100"/>
        <w:textAlignment w:val="auto"/>
        <w:rPr>
          <w:rFonts w:hint="eastAsia" w:ascii="宋体" w:hAnsi="宋体" w:eastAsia="宋体" w:cs="宋体"/>
          <w:color w:val="auto"/>
          <w:spacing w:val="0"/>
          <w:w w:val="100"/>
          <w:position w:val="0"/>
          <w:sz w:val="24"/>
          <w:szCs w:val="24"/>
          <w:highlight w:val="none"/>
          <w:lang w:val="en-US" w:eastAsia="zh-CN"/>
        </w:rPr>
      </w:pPr>
    </w:p>
    <w:p w14:paraId="446EDE46">
      <w:pPr>
        <w:keepNext w:val="0"/>
        <w:keepLines w:val="0"/>
        <w:pageBreakBefore w:val="0"/>
        <w:widowControl w:val="0"/>
        <w:kinsoku/>
        <w:wordWrap/>
        <w:overflowPunct/>
        <w:topLinePunct w:val="0"/>
        <w:autoSpaceDE/>
        <w:autoSpaceDN/>
        <w:bidi w:val="0"/>
        <w:adjustRightInd/>
        <w:snapToGrid w:val="0"/>
        <w:spacing w:line="560" w:lineRule="exact"/>
        <w:ind w:firstLine="240" w:firstLineChars="100"/>
        <w:textAlignment w:val="auto"/>
        <w:rPr>
          <w:rFonts w:hint="eastAsia" w:ascii="宋体" w:hAnsi="宋体" w:eastAsia="宋体" w:cs="宋体"/>
          <w:color w:val="auto"/>
          <w:spacing w:val="0"/>
          <w:w w:val="100"/>
          <w:position w:val="0"/>
          <w:sz w:val="24"/>
          <w:highlight w:val="none"/>
          <w:lang w:val="en-US" w:eastAsia="zh-CN"/>
        </w:rPr>
      </w:pPr>
      <w:r>
        <w:rPr>
          <w:rFonts w:hint="eastAsia" w:ascii="宋体" w:hAnsi="宋体" w:eastAsia="宋体" w:cs="宋体"/>
          <w:color w:val="auto"/>
          <w:spacing w:val="0"/>
          <w:w w:val="100"/>
          <w:position w:val="0"/>
          <w:sz w:val="24"/>
          <w:highlight w:val="none"/>
        </w:rPr>
        <w:t>招标代理：</w:t>
      </w:r>
      <w:r>
        <w:rPr>
          <w:rFonts w:hint="eastAsia" w:ascii="宋体" w:hAnsi="宋体" w:eastAsia="宋体" w:cs="宋体"/>
          <w:color w:val="auto"/>
          <w:spacing w:val="0"/>
          <w:w w:val="100"/>
          <w:position w:val="0"/>
          <w:sz w:val="24"/>
          <w:szCs w:val="24"/>
          <w:highlight w:val="none"/>
          <w:lang w:val="en-US" w:eastAsia="zh-CN"/>
        </w:rPr>
        <w:t>亿诚建设项目管理有限公司</w:t>
      </w:r>
    </w:p>
    <w:p w14:paraId="75A4A5E1">
      <w:pPr>
        <w:keepNext w:val="0"/>
        <w:keepLines w:val="0"/>
        <w:pageBreakBefore w:val="0"/>
        <w:widowControl w:val="0"/>
        <w:kinsoku/>
        <w:wordWrap/>
        <w:overflowPunct/>
        <w:topLinePunct w:val="0"/>
        <w:autoSpaceDE/>
        <w:autoSpaceDN/>
        <w:bidi w:val="0"/>
        <w:adjustRightInd/>
        <w:snapToGrid w:val="0"/>
        <w:spacing w:line="560" w:lineRule="exact"/>
        <w:ind w:firstLine="240" w:firstLineChars="100"/>
        <w:textAlignment w:val="auto"/>
        <w:rPr>
          <w:rFonts w:hint="eastAsia" w:ascii="宋体" w:hAnsi="宋体" w:eastAsia="宋体" w:cs="宋体"/>
          <w:color w:val="auto"/>
          <w:spacing w:val="0"/>
          <w:w w:val="100"/>
          <w:position w:val="0"/>
          <w:sz w:val="24"/>
          <w:highlight w:val="none"/>
          <w:lang w:val="en-US" w:eastAsia="zh-CN"/>
        </w:rPr>
      </w:pPr>
      <w:r>
        <w:rPr>
          <w:rFonts w:hint="eastAsia" w:ascii="宋体" w:hAnsi="宋体" w:eastAsia="宋体" w:cs="宋体"/>
          <w:color w:val="auto"/>
          <w:spacing w:val="0"/>
          <w:w w:val="100"/>
          <w:position w:val="0"/>
          <w:sz w:val="24"/>
          <w:highlight w:val="none"/>
        </w:rPr>
        <w:t>地</w:t>
      </w:r>
      <w:r>
        <w:rPr>
          <w:rFonts w:hint="eastAsia" w:ascii="宋体" w:hAnsi="宋体" w:eastAsia="宋体" w:cs="宋体"/>
          <w:color w:val="auto"/>
          <w:spacing w:val="0"/>
          <w:w w:val="100"/>
          <w:position w:val="0"/>
          <w:sz w:val="24"/>
          <w:highlight w:val="none"/>
          <w:lang w:val="en-US" w:eastAsia="zh-CN"/>
        </w:rPr>
        <w:t xml:space="preserve">    </w:t>
      </w:r>
      <w:r>
        <w:rPr>
          <w:rFonts w:hint="eastAsia" w:ascii="宋体" w:hAnsi="宋体" w:eastAsia="宋体" w:cs="宋体"/>
          <w:color w:val="auto"/>
          <w:spacing w:val="0"/>
          <w:w w:val="100"/>
          <w:position w:val="0"/>
          <w:sz w:val="24"/>
          <w:highlight w:val="none"/>
        </w:rPr>
        <w:t>址：</w:t>
      </w:r>
      <w:r>
        <w:rPr>
          <w:rFonts w:hint="eastAsia" w:ascii="宋体" w:hAnsi="宋体" w:eastAsia="宋体" w:cs="宋体"/>
          <w:color w:val="auto"/>
          <w:spacing w:val="0"/>
          <w:w w:val="100"/>
          <w:position w:val="0"/>
          <w:sz w:val="24"/>
          <w:szCs w:val="24"/>
          <w:highlight w:val="none"/>
        </w:rPr>
        <w:t>陕西省西安市高新区丈八五路高科尚都ONE尚城A座10F</w:t>
      </w:r>
    </w:p>
    <w:p w14:paraId="71EB50BF">
      <w:pPr>
        <w:keepNext w:val="0"/>
        <w:keepLines w:val="0"/>
        <w:pageBreakBefore w:val="0"/>
        <w:widowControl w:val="0"/>
        <w:kinsoku/>
        <w:wordWrap/>
        <w:overflowPunct/>
        <w:topLinePunct w:val="0"/>
        <w:autoSpaceDE/>
        <w:autoSpaceDN/>
        <w:bidi w:val="0"/>
        <w:adjustRightInd/>
        <w:snapToGrid w:val="0"/>
        <w:spacing w:line="560" w:lineRule="exact"/>
        <w:ind w:firstLine="240" w:firstLineChars="100"/>
        <w:textAlignment w:val="auto"/>
        <w:rPr>
          <w:rFonts w:hint="eastAsia" w:ascii="宋体" w:hAnsi="宋体" w:eastAsia="宋体" w:cs="宋体"/>
          <w:color w:val="auto"/>
          <w:spacing w:val="0"/>
          <w:w w:val="100"/>
          <w:position w:val="0"/>
          <w:sz w:val="24"/>
          <w:highlight w:val="none"/>
          <w:lang w:val="en-US" w:eastAsia="zh-CN"/>
        </w:rPr>
      </w:pPr>
      <w:r>
        <w:rPr>
          <w:rFonts w:hint="eastAsia" w:ascii="宋体" w:hAnsi="宋体" w:eastAsia="宋体" w:cs="宋体"/>
          <w:color w:val="auto"/>
          <w:spacing w:val="0"/>
          <w:w w:val="100"/>
          <w:position w:val="0"/>
          <w:sz w:val="24"/>
          <w:highlight w:val="none"/>
        </w:rPr>
        <w:t>联 系 人：</w:t>
      </w:r>
      <w:r>
        <w:rPr>
          <w:rFonts w:hint="eastAsia" w:ascii="宋体" w:hAnsi="宋体" w:eastAsia="宋体" w:cs="宋体"/>
          <w:color w:val="auto"/>
          <w:spacing w:val="0"/>
          <w:w w:val="100"/>
          <w:position w:val="0"/>
          <w:sz w:val="24"/>
          <w:highlight w:val="none"/>
          <w:lang w:eastAsia="zh-CN"/>
        </w:rPr>
        <w:t>张俊玲、赵醒文、张耀峰、赵利科、谷瑞妮</w:t>
      </w:r>
    </w:p>
    <w:p w14:paraId="24ECDB7B">
      <w:pPr>
        <w:keepNext w:val="0"/>
        <w:keepLines w:val="0"/>
        <w:pageBreakBefore w:val="0"/>
        <w:widowControl w:val="0"/>
        <w:kinsoku/>
        <w:wordWrap/>
        <w:overflowPunct/>
        <w:topLinePunct w:val="0"/>
        <w:autoSpaceDE/>
        <w:autoSpaceDN/>
        <w:bidi w:val="0"/>
        <w:adjustRightInd/>
        <w:snapToGrid w:val="0"/>
        <w:spacing w:line="560" w:lineRule="exact"/>
        <w:ind w:firstLine="240" w:firstLineChars="100"/>
        <w:jc w:val="both"/>
        <w:textAlignment w:val="auto"/>
        <w:rPr>
          <w:rFonts w:hint="eastAsia" w:ascii="宋体" w:hAnsi="宋体" w:eastAsia="宋体" w:cs="宋体"/>
          <w:color w:val="auto"/>
          <w:spacing w:val="0"/>
          <w:w w:val="100"/>
          <w:position w:val="0"/>
          <w:sz w:val="24"/>
          <w:highlight w:val="none"/>
          <w:lang w:val="en-US" w:eastAsia="zh-CN"/>
        </w:rPr>
      </w:pPr>
      <w:r>
        <w:rPr>
          <w:rFonts w:hint="eastAsia" w:ascii="宋体" w:hAnsi="宋体" w:eastAsia="宋体" w:cs="宋体"/>
          <w:color w:val="auto"/>
          <w:spacing w:val="0"/>
          <w:w w:val="100"/>
          <w:position w:val="0"/>
          <w:sz w:val="24"/>
          <w:highlight w:val="none"/>
        </w:rPr>
        <w:t>电    话：</w:t>
      </w:r>
      <w:r>
        <w:rPr>
          <w:rFonts w:hint="eastAsia" w:ascii="宋体" w:hAnsi="宋体" w:eastAsia="宋体" w:cs="宋体"/>
          <w:color w:val="auto"/>
          <w:spacing w:val="0"/>
          <w:w w:val="100"/>
          <w:position w:val="0"/>
          <w:sz w:val="24"/>
          <w:highlight w:val="none"/>
          <w:lang w:val="en-US" w:eastAsia="zh-CN"/>
        </w:rPr>
        <w:t>17729185080</w:t>
      </w:r>
    </w:p>
    <w:p w14:paraId="59189DF1">
      <w:pPr>
        <w:rPr>
          <w:rFonts w:hint="default"/>
          <w:b/>
          <w:bCs/>
          <w:sz w:val="32"/>
          <w:szCs w:val="40"/>
          <w:lang w:val="en-US" w:eastAsia="zh-CN"/>
        </w:rPr>
      </w:pPr>
      <w:r>
        <w:rPr>
          <w:rFonts w:hint="default"/>
          <w:b/>
          <w:bCs/>
          <w:sz w:val="32"/>
          <w:szCs w:val="40"/>
          <w:lang w:val="en-US" w:eastAsia="zh-CN"/>
        </w:rPr>
        <w:br w:type="page"/>
      </w:r>
    </w:p>
    <w:p w14:paraId="02954C3B">
      <w:pPr>
        <w:keepNext w:val="0"/>
        <w:keepLines w:val="0"/>
        <w:pageBreakBefore w:val="0"/>
        <w:widowControl w:val="0"/>
        <w:tabs>
          <w:tab w:val="left" w:pos="4412"/>
        </w:tabs>
        <w:kinsoku/>
        <w:wordWrap/>
        <w:overflowPunct/>
        <w:topLinePunct w:val="0"/>
        <w:autoSpaceDE/>
        <w:autoSpaceDN/>
        <w:bidi w:val="0"/>
        <w:adjustRightInd/>
        <w:snapToGrid w:val="0"/>
        <w:spacing w:line="360" w:lineRule="auto"/>
        <w:ind w:left="0" w:firstLine="0"/>
        <w:jc w:val="center"/>
        <w:textAlignment w:val="auto"/>
        <w:outlineLvl w:val="1"/>
        <w:rPr>
          <w:rFonts w:hint="eastAsia" w:ascii="宋体" w:hAnsi="宋体" w:eastAsia="宋体" w:cs="宋体"/>
          <w:b/>
          <w:color w:val="auto"/>
          <w:spacing w:val="0"/>
          <w:w w:val="100"/>
          <w:sz w:val="40"/>
          <w:szCs w:val="32"/>
          <w:highlight w:val="none"/>
        </w:rPr>
      </w:pPr>
      <w:r>
        <w:rPr>
          <w:rFonts w:hint="eastAsia" w:ascii="宋体" w:hAnsi="宋体" w:eastAsia="宋体" w:cs="宋体"/>
          <w:b/>
          <w:color w:val="auto"/>
          <w:spacing w:val="0"/>
          <w:w w:val="100"/>
          <w:sz w:val="40"/>
          <w:szCs w:val="32"/>
          <w:highlight w:val="none"/>
        </w:rPr>
        <w:t>评标办法（合理低价法）</w:t>
      </w:r>
    </w:p>
    <w:p w14:paraId="55BC5813">
      <w:pPr>
        <w:keepNext w:val="0"/>
        <w:keepLines w:val="0"/>
        <w:pageBreakBefore w:val="0"/>
        <w:widowControl w:val="0"/>
        <w:kinsoku/>
        <w:wordWrap/>
        <w:overflowPunct/>
        <w:topLinePunct w:val="0"/>
        <w:autoSpaceDE/>
        <w:autoSpaceDN/>
        <w:bidi w:val="0"/>
        <w:adjustRightInd/>
        <w:snapToGrid w:val="0"/>
        <w:jc w:val="center"/>
        <w:textAlignment w:val="auto"/>
        <w:outlineLvl w:val="2"/>
        <w:rPr>
          <w:rFonts w:hint="eastAsia" w:ascii="宋体" w:hAnsi="宋体" w:eastAsia="宋体" w:cs="宋体"/>
          <w:b/>
          <w:color w:val="auto"/>
          <w:spacing w:val="0"/>
          <w:w w:val="100"/>
          <w:sz w:val="28"/>
          <w:highlight w:val="none"/>
          <w:lang w:eastAsia="en-US"/>
        </w:rPr>
      </w:pPr>
      <w:bookmarkStart w:id="0" w:name="_Toc28767"/>
      <w:bookmarkStart w:id="1" w:name="_Toc459"/>
      <w:bookmarkStart w:id="2" w:name="_Toc13314"/>
      <w:r>
        <w:rPr>
          <w:rFonts w:hint="eastAsia" w:ascii="宋体" w:hAnsi="宋体" w:eastAsia="宋体" w:cs="宋体"/>
          <w:b/>
          <w:color w:val="auto"/>
          <w:spacing w:val="0"/>
          <w:w w:val="100"/>
          <w:sz w:val="28"/>
          <w:highlight w:val="none"/>
          <w:lang w:eastAsia="en-US"/>
        </w:rPr>
        <w:t>评标办法前附表</w:t>
      </w:r>
      <w:bookmarkEnd w:id="0"/>
      <w:bookmarkEnd w:id="1"/>
      <w:bookmarkEnd w:id="2"/>
    </w:p>
    <w:p w14:paraId="31AA4C34">
      <w:pPr>
        <w:snapToGrid w:val="0"/>
        <w:spacing w:before="10"/>
        <w:jc w:val="left"/>
        <w:outlineLvl w:val="9"/>
        <w:rPr>
          <w:rFonts w:hint="eastAsia" w:ascii="宋体" w:hAnsi="宋体" w:eastAsia="宋体" w:cs="宋体"/>
          <w:b/>
          <w:color w:val="auto"/>
          <w:spacing w:val="0"/>
          <w:w w:val="100"/>
          <w:sz w:val="2"/>
          <w:highlight w:val="none"/>
        </w:rPr>
      </w:pPr>
    </w:p>
    <w:tbl>
      <w:tblPr>
        <w:tblStyle w:val="3"/>
        <w:tblW w:w="9079" w:type="dxa"/>
        <w:jc w:val="center"/>
        <w:tblLayout w:type="fixed"/>
        <w:tblCellMar>
          <w:top w:w="0" w:type="dxa"/>
          <w:left w:w="0" w:type="dxa"/>
          <w:bottom w:w="0" w:type="dxa"/>
          <w:right w:w="0" w:type="dxa"/>
        </w:tblCellMar>
      </w:tblPr>
      <w:tblGrid>
        <w:gridCol w:w="909"/>
        <w:gridCol w:w="1136"/>
        <w:gridCol w:w="7034"/>
      </w:tblGrid>
      <w:tr w14:paraId="03727AF8">
        <w:tblPrEx>
          <w:tblCellMar>
            <w:top w:w="0" w:type="dxa"/>
            <w:left w:w="0" w:type="dxa"/>
            <w:bottom w:w="0" w:type="dxa"/>
            <w:right w:w="0" w:type="dxa"/>
          </w:tblCellMar>
        </w:tblPrEx>
        <w:trPr>
          <w:trHeight w:val="434" w:hRule="exact"/>
          <w:jc w:val="center"/>
        </w:trPr>
        <w:tc>
          <w:tcPr>
            <w:tcW w:w="2045"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14BA3AA">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b/>
                <w:color w:val="auto"/>
                <w:spacing w:val="0"/>
                <w:w w:val="100"/>
                <w:sz w:val="24"/>
                <w:highlight w:val="none"/>
                <w:lang w:eastAsia="en-US"/>
              </w:rPr>
              <w:t>条款号</w:t>
            </w:r>
          </w:p>
        </w:tc>
        <w:tc>
          <w:tcPr>
            <w:tcW w:w="70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5872863">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b/>
                <w:color w:val="auto"/>
                <w:spacing w:val="0"/>
                <w:w w:val="100"/>
                <w:sz w:val="24"/>
                <w:highlight w:val="none"/>
                <w:lang w:eastAsia="en-US"/>
              </w:rPr>
              <w:t>评审因素与评审标准</w:t>
            </w:r>
          </w:p>
        </w:tc>
      </w:tr>
      <w:tr w14:paraId="2836B60F">
        <w:tblPrEx>
          <w:tblCellMar>
            <w:top w:w="0" w:type="dxa"/>
            <w:left w:w="0" w:type="dxa"/>
            <w:bottom w:w="0" w:type="dxa"/>
            <w:right w:w="0" w:type="dxa"/>
          </w:tblCellMar>
        </w:tblPrEx>
        <w:trPr>
          <w:trHeight w:val="2586" w:hRule="exact"/>
          <w:jc w:val="center"/>
        </w:trPr>
        <w:tc>
          <w:tcPr>
            <w:tcW w:w="90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7FA8BED">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rPr>
            </w:pPr>
          </w:p>
          <w:p w14:paraId="58B78C5A">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rPr>
            </w:pPr>
          </w:p>
          <w:p w14:paraId="1D209AF6">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rPr>
            </w:pPr>
          </w:p>
          <w:p w14:paraId="07C15596">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lang w:val="en-US" w:eastAsia="zh-CN"/>
              </w:rPr>
            </w:pPr>
            <w:r>
              <w:rPr>
                <w:rFonts w:hint="eastAsia" w:ascii="宋体" w:hAnsi="宋体" w:eastAsia="宋体" w:cs="宋体"/>
                <w:color w:val="auto"/>
                <w:spacing w:val="0"/>
                <w:w w:val="100"/>
                <w:sz w:val="24"/>
                <w:highlight w:val="none"/>
                <w:lang w:val="en-US" w:eastAsia="zh-CN"/>
              </w:rPr>
              <w:t>1</w:t>
            </w:r>
          </w:p>
          <w:p w14:paraId="05F716DF">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rPr>
            </w:pPr>
          </w:p>
          <w:p w14:paraId="71C9F240">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rPr>
            </w:pPr>
          </w:p>
          <w:p w14:paraId="69569838">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rPr>
            </w:pPr>
          </w:p>
        </w:tc>
        <w:tc>
          <w:tcPr>
            <w:tcW w:w="11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14D9AE2">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评标方法</w:t>
            </w:r>
          </w:p>
          <w:p w14:paraId="28521653">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tc>
        <w:tc>
          <w:tcPr>
            <w:tcW w:w="70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089713C7">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rPr>
              <w:t>综合评分相等时，评标委员会依次按照以下优先顺序推荐中标候选人</w:t>
            </w:r>
            <w:r>
              <w:rPr>
                <w:rFonts w:hint="eastAsia" w:ascii="宋体" w:hAnsi="宋体" w:eastAsia="宋体" w:cs="宋体"/>
                <w:color w:val="auto"/>
                <w:spacing w:val="0"/>
                <w:w w:val="100"/>
                <w:sz w:val="24"/>
                <w:szCs w:val="24"/>
                <w:highlight w:val="none"/>
                <w:lang w:eastAsia="zh-CN"/>
              </w:rPr>
              <w:t>：</w:t>
            </w:r>
          </w:p>
          <w:p w14:paraId="3862DFAD">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（1）评标价低的投标人优先；</w:t>
            </w:r>
          </w:p>
          <w:p w14:paraId="0BD32784">
            <w:pPr>
              <w:pStyle w:val="5"/>
              <w:spacing w:before="90" w:line="321" w:lineRule="auto"/>
              <w:ind w:right="102"/>
              <w:rPr>
                <w:rFonts w:hint="eastAsia" w:ascii="宋体" w:hAnsi="宋体" w:eastAsia="宋体" w:cs="宋体"/>
                <w:color w:val="auto"/>
                <w:spacing w:val="0"/>
                <w:w w:val="100"/>
                <w:kern w:val="2"/>
                <w:sz w:val="24"/>
                <w:szCs w:val="24"/>
                <w:highlight w:val="none"/>
                <w:lang w:val="en-US" w:eastAsia="zh-CN" w:bidi="ar-SA"/>
              </w:rPr>
            </w:pPr>
            <w:r>
              <w:rPr>
                <w:rFonts w:hint="eastAsia" w:ascii="宋体" w:hAnsi="宋体" w:eastAsia="宋体" w:cs="宋体"/>
                <w:color w:val="auto"/>
                <w:spacing w:val="0"/>
                <w:w w:val="100"/>
                <w:kern w:val="2"/>
                <w:sz w:val="24"/>
                <w:szCs w:val="24"/>
                <w:highlight w:val="none"/>
                <w:lang w:val="en-US" w:eastAsia="zh-CN" w:bidi="ar-SA"/>
              </w:rPr>
              <w:t>（2）被招标项目所在地省级交通运输主管部门评为较高信用等级的投标人优先；</w:t>
            </w:r>
          </w:p>
          <w:p w14:paraId="2683236C">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rPr>
              <w:t>）近</w:t>
            </w:r>
            <w:r>
              <w:rPr>
                <w:rFonts w:hint="eastAsia" w:ascii="宋体" w:hAnsi="宋体" w:eastAsia="宋体" w:cs="宋体"/>
                <w:color w:val="auto"/>
                <w:spacing w:val="0"/>
                <w:w w:val="100"/>
                <w:sz w:val="24"/>
                <w:szCs w:val="24"/>
                <w:highlight w:val="none"/>
                <w:lang w:val="en-US" w:eastAsia="zh-CN"/>
              </w:rPr>
              <w:t>3</w:t>
            </w:r>
            <w:r>
              <w:rPr>
                <w:rFonts w:hint="eastAsia" w:ascii="宋体" w:hAnsi="宋体" w:eastAsia="宋体" w:cs="宋体"/>
                <w:color w:val="auto"/>
                <w:spacing w:val="0"/>
                <w:w w:val="100"/>
                <w:sz w:val="24"/>
                <w:szCs w:val="24"/>
                <w:highlight w:val="none"/>
              </w:rPr>
              <w:t>年同类公路工程业绩数量更多、合同额更大的投标人优先；</w:t>
            </w:r>
          </w:p>
          <w:p w14:paraId="5BE47142">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lang w:val="en-US" w:eastAsia="zh-CN"/>
              </w:rPr>
              <w:t>4</w:t>
            </w:r>
            <w:r>
              <w:rPr>
                <w:rFonts w:hint="eastAsia" w:ascii="宋体" w:hAnsi="宋体" w:eastAsia="宋体" w:cs="宋体"/>
                <w:color w:val="auto"/>
                <w:spacing w:val="0"/>
                <w:w w:val="100"/>
                <w:sz w:val="24"/>
                <w:szCs w:val="24"/>
                <w:highlight w:val="none"/>
              </w:rPr>
              <w:t>）项目负责人同类公路工程业绩更多的投标人优先；</w:t>
            </w:r>
          </w:p>
        </w:tc>
      </w:tr>
      <w:tr w14:paraId="590EBD7E">
        <w:tblPrEx>
          <w:tblCellMar>
            <w:top w:w="0" w:type="dxa"/>
            <w:left w:w="0" w:type="dxa"/>
            <w:bottom w:w="0" w:type="dxa"/>
            <w:right w:w="0" w:type="dxa"/>
          </w:tblCellMar>
        </w:tblPrEx>
        <w:trPr>
          <w:trHeight w:val="0" w:hRule="atLeast"/>
          <w:jc w:val="center"/>
        </w:trPr>
        <w:tc>
          <w:tcPr>
            <w:tcW w:w="909" w:type="dxa"/>
            <w:tcBorders>
              <w:top w:val="single" w:color="000000"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5337BF2A">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07C1455E">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754F88A9">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02615D4B">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0A9E2235">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221F3C66">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03FD1510">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1E49FE16">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5821598E">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51ECF72E">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77092CA3">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248D8FCA">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18C8D037">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24F1CB55">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2.1.1</w:t>
            </w:r>
          </w:p>
          <w:p w14:paraId="62A72C79">
            <w:pPr>
              <w:pStyle w:val="6"/>
              <w:ind w:left="0" w:leftChars="0" w:firstLine="0" w:firstLineChars="0"/>
              <w:jc w:val="center"/>
              <w:rPr>
                <w:rFonts w:hint="default" w:eastAsia="宋体"/>
                <w:lang w:val="en-US" w:eastAsia="zh-CN"/>
              </w:rPr>
            </w:pPr>
            <w:r>
              <w:rPr>
                <w:rFonts w:hint="eastAsia" w:eastAsia="宋体" w:cs="宋体"/>
                <w:color w:val="auto"/>
                <w:spacing w:val="0"/>
                <w:w w:val="100"/>
                <w:sz w:val="24"/>
                <w:highlight w:val="none"/>
                <w:lang w:val="en-US" w:eastAsia="zh-CN"/>
              </w:rPr>
              <w:t>2.1.3</w:t>
            </w:r>
          </w:p>
          <w:p w14:paraId="516A4462">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tc>
        <w:tc>
          <w:tcPr>
            <w:tcW w:w="1136" w:type="dxa"/>
            <w:tcBorders>
              <w:top w:val="single" w:color="000000"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464C2337">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2315E915">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5EEBA823">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25DDD342">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1FCDB4AE">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1790B97D">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3E51CF4D">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671401CC">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1414B34B">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2ADDC270">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4119A176">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3309F066">
            <w:pPr>
              <w:keepNext w:val="0"/>
              <w:keepLines w:val="0"/>
              <w:pageBreakBefore w:val="0"/>
              <w:widowControl w:val="0"/>
              <w:kinsoku/>
              <w:wordWrap/>
              <w:overflowPunct/>
              <w:topLinePunct w:val="0"/>
              <w:autoSpaceDE/>
              <w:autoSpaceDN/>
              <w:bidi w:val="0"/>
              <w:adjustRightInd/>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p>
          <w:p w14:paraId="1C53D0D1">
            <w:pPr>
              <w:keepNext w:val="0"/>
              <w:keepLines w:val="0"/>
              <w:pageBreakBefore w:val="0"/>
              <w:widowControl w:val="0"/>
              <w:kinsoku/>
              <w:wordWrap/>
              <w:overflowPunct/>
              <w:topLinePunct w:val="0"/>
              <w:autoSpaceDE/>
              <w:autoSpaceDN/>
              <w:bidi w:val="0"/>
              <w:adjustRightInd/>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形式评审与响应性评审标准</w:t>
            </w:r>
          </w:p>
        </w:tc>
        <w:tc>
          <w:tcPr>
            <w:tcW w:w="7034" w:type="dxa"/>
            <w:tcBorders>
              <w:top w:val="single" w:color="000000"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2BFCE0E2">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textAlignment w:val="auto"/>
              <w:outlineLvl w:val="9"/>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第一个信封（商务及技术文件）评审标准：</w:t>
            </w:r>
          </w:p>
          <w:p w14:paraId="0BE1C14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kern w:val="2"/>
                <w:sz w:val="24"/>
                <w:szCs w:val="24"/>
                <w:lang w:val="en-US" w:eastAsia="zh-CN" w:bidi="ar-SA"/>
              </w:rPr>
              <w:t>（1）</w:t>
            </w:r>
            <w:r>
              <w:rPr>
                <w:rFonts w:hint="eastAsia" w:ascii="宋体" w:hAnsi="宋体" w:eastAsia="宋体" w:cs="宋体"/>
                <w:color w:val="auto"/>
                <w:spacing w:val="0"/>
                <w:w w:val="100"/>
                <w:sz w:val="24"/>
                <w:highlight w:val="none"/>
              </w:rPr>
              <w:t>投标文件按照招标文件规定的格式、内容填写，字迹清晰可辨：a.投标函按招标文件规定填报了项目名称、标段号、补遗书编号（如有）工期、工程质量要求及安全目标；</w:t>
            </w:r>
          </w:p>
          <w:p w14:paraId="52321F2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right="0" w:right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b.投标函附录的所有数据均符合招标文件规定；</w:t>
            </w:r>
          </w:p>
          <w:p w14:paraId="0D2A4F7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right="0" w:right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c.投标文件组成齐全完整，内容均按规定填写。</w:t>
            </w:r>
          </w:p>
          <w:p w14:paraId="0612DFF5">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（2）投标文件上法定代表人或其委托代理人的签字</w:t>
            </w:r>
            <w:r>
              <w:rPr>
                <w:rFonts w:hint="eastAsia" w:ascii="宋体" w:hAnsi="宋体" w:eastAsia="宋体" w:cs="宋体"/>
                <w:color w:val="auto"/>
                <w:spacing w:val="0"/>
                <w:w w:val="100"/>
                <w:sz w:val="24"/>
                <w:highlight w:val="none"/>
                <w:lang w:val="en-US" w:eastAsia="zh-CN"/>
              </w:rPr>
              <w:t>或盖章</w:t>
            </w:r>
            <w:r>
              <w:rPr>
                <w:rFonts w:hint="eastAsia" w:ascii="宋体" w:hAnsi="宋体" w:eastAsia="宋体" w:cs="宋体"/>
                <w:color w:val="auto"/>
                <w:spacing w:val="0"/>
                <w:w w:val="100"/>
                <w:sz w:val="24"/>
                <w:highlight w:val="none"/>
              </w:rPr>
              <w:t>、投标人的单位章盖章齐全，符合招标文件规定。</w:t>
            </w:r>
          </w:p>
          <w:p w14:paraId="17DE417E">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（3）投标人按照招标文件的规定提供了投标保证金：</w:t>
            </w:r>
          </w:p>
          <w:p w14:paraId="6E742CDC">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a.投标保证金金额符合招标文件规定的金额，且投标保证金有效期不少于投标有效期；</w:t>
            </w:r>
          </w:p>
          <w:p w14:paraId="505E3864">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b.若投标保证金采用</w:t>
            </w:r>
            <w:r>
              <w:rPr>
                <w:rFonts w:hint="eastAsia" w:ascii="宋体" w:hAnsi="宋体" w:eastAsia="宋体" w:cs="宋体"/>
                <w:color w:val="auto"/>
                <w:spacing w:val="0"/>
                <w:w w:val="100"/>
                <w:sz w:val="24"/>
                <w:highlight w:val="none"/>
                <w:lang w:val="en-US" w:eastAsia="zh-CN"/>
              </w:rPr>
              <w:t>转账</w:t>
            </w:r>
            <w:r>
              <w:rPr>
                <w:rFonts w:hint="eastAsia" w:ascii="宋体" w:hAnsi="宋体" w:eastAsia="宋体" w:cs="宋体"/>
                <w:color w:val="auto"/>
                <w:spacing w:val="0"/>
                <w:w w:val="100"/>
                <w:sz w:val="24"/>
                <w:highlight w:val="none"/>
              </w:rPr>
              <w:t>形式提交，投标人应在递交投标文件截止时间之前，将投标保证金由投标人的基本账户转入招标人指定账户；</w:t>
            </w:r>
          </w:p>
          <w:p w14:paraId="2A4718ED">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c.若投标保证金采用保函形式提交，保函的格式、开具</w:t>
            </w:r>
            <w:r>
              <w:rPr>
                <w:rFonts w:hint="eastAsia" w:ascii="宋体" w:hAnsi="宋体" w:eastAsia="宋体" w:cs="宋体"/>
                <w:color w:val="auto"/>
                <w:spacing w:val="0"/>
                <w:w w:val="100"/>
                <w:sz w:val="24"/>
                <w:highlight w:val="none"/>
                <w:lang w:eastAsia="zh-CN"/>
              </w:rPr>
              <w:t>的</w:t>
            </w:r>
            <w:r>
              <w:rPr>
                <w:rFonts w:hint="eastAsia" w:ascii="宋体" w:hAnsi="宋体" w:eastAsia="宋体" w:cs="宋体"/>
                <w:color w:val="auto"/>
                <w:spacing w:val="0"/>
                <w:w w:val="100"/>
                <w:sz w:val="24"/>
                <w:highlight w:val="none"/>
              </w:rPr>
              <w:t>保函均满足招标文件要求，且在递交投标文件截止时间之前向</w:t>
            </w:r>
            <w:r>
              <w:rPr>
                <w:rFonts w:hint="eastAsia" w:ascii="宋体" w:hAnsi="宋体" w:eastAsia="宋体" w:cs="宋体"/>
                <w:color w:val="auto"/>
                <w:spacing w:val="0"/>
                <w:w w:val="100"/>
                <w:sz w:val="24"/>
                <w:highlight w:val="none"/>
                <w:lang w:eastAsia="zh-CN"/>
              </w:rPr>
              <w:t>代理公司</w:t>
            </w:r>
            <w:r>
              <w:rPr>
                <w:rFonts w:hint="eastAsia" w:ascii="宋体" w:hAnsi="宋体" w:eastAsia="宋体" w:cs="宋体"/>
                <w:color w:val="auto"/>
                <w:spacing w:val="0"/>
                <w:w w:val="100"/>
                <w:sz w:val="24"/>
                <w:highlight w:val="none"/>
              </w:rPr>
              <w:t xml:space="preserve">提交了保函原件。               </w:t>
            </w:r>
          </w:p>
          <w:p w14:paraId="2C068961">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（4）投标人法定代表人授权委托代理人签字（或盖章）的，须提交授权委托书，且授权人和被授权人均在授权委托书上签名</w:t>
            </w:r>
            <w:r>
              <w:rPr>
                <w:rFonts w:hint="eastAsia" w:ascii="宋体" w:hAnsi="宋体" w:eastAsia="宋体" w:cs="宋体"/>
                <w:color w:val="auto"/>
                <w:spacing w:val="0"/>
                <w:w w:val="100"/>
                <w:sz w:val="24"/>
                <w:highlight w:val="none"/>
                <w:lang w:val="en-US" w:eastAsia="zh-CN"/>
              </w:rPr>
              <w:t>或盖章</w:t>
            </w:r>
            <w:r>
              <w:rPr>
                <w:rFonts w:hint="eastAsia" w:ascii="宋体" w:hAnsi="宋体" w:eastAsia="宋体" w:cs="宋体"/>
                <w:color w:val="auto"/>
                <w:spacing w:val="0"/>
                <w:w w:val="100"/>
                <w:sz w:val="24"/>
                <w:highlight w:val="none"/>
              </w:rPr>
              <w:t>。</w:t>
            </w:r>
          </w:p>
          <w:p w14:paraId="16F3A4D8">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（5）投标人法定代表人</w:t>
            </w:r>
            <w:r>
              <w:rPr>
                <w:rFonts w:hint="eastAsia" w:ascii="宋体" w:hAnsi="宋体" w:eastAsia="宋体" w:cs="宋体"/>
                <w:bCs/>
                <w:color w:val="auto"/>
                <w:spacing w:val="0"/>
                <w:w w:val="100"/>
                <w:sz w:val="24"/>
                <w:highlight w:val="none"/>
              </w:rPr>
              <w:t>签字（或盖章）</w:t>
            </w:r>
            <w:r>
              <w:rPr>
                <w:rFonts w:hint="eastAsia" w:ascii="宋体" w:hAnsi="宋体" w:eastAsia="宋体" w:cs="宋体"/>
                <w:color w:val="auto"/>
                <w:spacing w:val="0"/>
                <w:w w:val="100"/>
                <w:sz w:val="24"/>
                <w:highlight w:val="none"/>
              </w:rPr>
              <w:t>的，提供了法定代表人身份证明，且法定代表人在法定代表人身份证明上签名</w:t>
            </w:r>
            <w:r>
              <w:rPr>
                <w:rFonts w:hint="eastAsia" w:ascii="宋体" w:hAnsi="宋体" w:eastAsia="宋体" w:cs="宋体"/>
                <w:color w:val="auto"/>
                <w:spacing w:val="0"/>
                <w:w w:val="100"/>
                <w:sz w:val="24"/>
                <w:highlight w:val="none"/>
                <w:lang w:val="en-US" w:eastAsia="zh-CN"/>
              </w:rPr>
              <w:t>或盖章</w:t>
            </w:r>
            <w:r>
              <w:rPr>
                <w:rFonts w:hint="eastAsia" w:ascii="宋体" w:hAnsi="宋体" w:eastAsia="宋体" w:cs="宋体"/>
                <w:color w:val="auto"/>
                <w:spacing w:val="0"/>
                <w:w w:val="100"/>
                <w:sz w:val="24"/>
                <w:highlight w:val="none"/>
              </w:rPr>
              <w:t>。</w:t>
            </w:r>
          </w:p>
          <w:p w14:paraId="58332E8F">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（6）投标人未以联合体形式投标。</w:t>
            </w:r>
          </w:p>
          <w:p w14:paraId="4047455E">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（7）投标人未进行分包。</w:t>
            </w:r>
          </w:p>
          <w:p w14:paraId="39634CCF">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w:t>
            </w:r>
            <w:r>
              <w:rPr>
                <w:rFonts w:hint="eastAsia" w:ascii="宋体" w:hAnsi="宋体" w:eastAsia="宋体" w:cs="宋体"/>
                <w:color w:val="auto"/>
                <w:spacing w:val="0"/>
                <w:w w:val="100"/>
                <w:sz w:val="24"/>
                <w:highlight w:val="none"/>
                <w:lang w:val="en-US" w:eastAsia="zh-CN"/>
              </w:rPr>
              <w:t>8</w:t>
            </w:r>
            <w:r>
              <w:rPr>
                <w:rFonts w:hint="eastAsia" w:ascii="宋体" w:hAnsi="宋体" w:eastAsia="宋体" w:cs="宋体"/>
                <w:color w:val="auto"/>
                <w:spacing w:val="0"/>
                <w:w w:val="100"/>
                <w:sz w:val="24"/>
                <w:highlight w:val="none"/>
              </w:rPr>
              <w:t>）同一投标人未提交两个以上不同的投标文件，但招标文件要</w:t>
            </w:r>
          </w:p>
          <w:p w14:paraId="083B5607">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rPr>
              <w:t>求提交备选投标的除外</w:t>
            </w:r>
            <w:r>
              <w:rPr>
                <w:rFonts w:hint="eastAsia" w:ascii="宋体" w:hAnsi="宋体" w:eastAsia="宋体" w:cs="宋体"/>
                <w:color w:val="auto"/>
                <w:spacing w:val="0"/>
                <w:w w:val="100"/>
                <w:sz w:val="24"/>
                <w:highlight w:val="none"/>
                <w:lang w:eastAsia="zh-CN"/>
              </w:rPr>
              <w:t>。</w:t>
            </w:r>
          </w:p>
          <w:p w14:paraId="7168251C">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lang w:eastAsia="zh-CN"/>
              </w:rPr>
              <w:t>（</w:t>
            </w:r>
            <w:r>
              <w:rPr>
                <w:rFonts w:hint="eastAsia" w:ascii="宋体" w:hAnsi="宋体" w:eastAsia="宋体" w:cs="宋体"/>
                <w:color w:val="auto"/>
                <w:spacing w:val="0"/>
                <w:w w:val="100"/>
                <w:sz w:val="24"/>
                <w:highlight w:val="none"/>
                <w:lang w:val="en-US" w:eastAsia="zh-CN"/>
              </w:rPr>
              <w:t>9</w:t>
            </w:r>
            <w:r>
              <w:rPr>
                <w:rFonts w:hint="eastAsia" w:ascii="宋体" w:hAnsi="宋体" w:eastAsia="宋体" w:cs="宋体"/>
                <w:color w:val="auto"/>
                <w:spacing w:val="0"/>
                <w:w w:val="100"/>
                <w:sz w:val="24"/>
                <w:highlight w:val="none"/>
                <w:lang w:eastAsia="zh-CN"/>
              </w:rPr>
              <w:t>）</w:t>
            </w:r>
            <w:r>
              <w:rPr>
                <w:rFonts w:hint="eastAsia" w:ascii="宋体" w:hAnsi="宋体" w:eastAsia="宋体" w:cs="宋体"/>
                <w:color w:val="auto"/>
                <w:spacing w:val="0"/>
                <w:w w:val="100"/>
                <w:sz w:val="24"/>
                <w:highlight w:val="none"/>
              </w:rPr>
              <w:t>投标文件中未出现有关投标报价的内容。</w:t>
            </w:r>
          </w:p>
          <w:p w14:paraId="795A681A">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w:t>
            </w:r>
            <w:r>
              <w:rPr>
                <w:rFonts w:hint="eastAsia" w:ascii="宋体" w:hAnsi="宋体" w:eastAsia="宋体" w:cs="宋体"/>
                <w:color w:val="auto"/>
                <w:spacing w:val="0"/>
                <w:w w:val="100"/>
                <w:sz w:val="24"/>
                <w:highlight w:val="none"/>
                <w:lang w:val="en-US" w:eastAsia="zh-CN"/>
              </w:rPr>
              <w:t>10</w:t>
            </w:r>
            <w:r>
              <w:rPr>
                <w:rFonts w:hint="eastAsia" w:ascii="宋体" w:hAnsi="宋体" w:eastAsia="宋体" w:cs="宋体"/>
                <w:color w:val="auto"/>
                <w:spacing w:val="0"/>
                <w:w w:val="100"/>
                <w:sz w:val="24"/>
                <w:highlight w:val="none"/>
              </w:rPr>
              <w:t>）投标文件载明的招标项目完成期限未超过招标文件规定的时限。</w:t>
            </w:r>
          </w:p>
          <w:p w14:paraId="2FF6F641">
            <w:pPr>
              <w:keepNext w:val="0"/>
              <w:keepLines w:val="0"/>
              <w:pageBreakBefore w:val="0"/>
              <w:widowControl w:val="0"/>
              <w:kinsoku/>
              <w:wordWrap/>
              <w:overflowPunct/>
              <w:topLinePunct w:val="0"/>
              <w:autoSpaceDE/>
              <w:autoSpaceDN/>
              <w:bidi w:val="0"/>
              <w:adjustRightInd/>
              <w:spacing w:line="240" w:lineRule="auto"/>
              <w:ind w:left="0" w:right="0" w:firstLine="0" w:firstLineChars="0"/>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（1</w:t>
            </w:r>
            <w:r>
              <w:rPr>
                <w:rFonts w:hint="eastAsia" w:ascii="宋体" w:hAnsi="宋体" w:eastAsia="宋体" w:cs="宋体"/>
                <w:color w:val="auto"/>
                <w:spacing w:val="0"/>
                <w:w w:val="100"/>
                <w:sz w:val="24"/>
                <w:highlight w:val="none"/>
                <w:lang w:val="en-US" w:eastAsia="zh-CN"/>
              </w:rPr>
              <w:t>1</w:t>
            </w:r>
            <w:r>
              <w:rPr>
                <w:rFonts w:hint="eastAsia" w:ascii="宋体" w:hAnsi="宋体" w:eastAsia="宋体" w:cs="宋体"/>
                <w:color w:val="auto"/>
                <w:spacing w:val="0"/>
                <w:w w:val="100"/>
                <w:sz w:val="24"/>
                <w:highlight w:val="none"/>
              </w:rPr>
              <w:t>）投标文件对招标文件的实质性要求和条件作出响应。</w:t>
            </w:r>
          </w:p>
          <w:p w14:paraId="02448CD8">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lang w:eastAsia="zh-CN"/>
              </w:rPr>
            </w:pPr>
            <w:r>
              <w:rPr>
                <w:rFonts w:hint="eastAsia" w:ascii="宋体" w:hAnsi="宋体" w:eastAsia="宋体" w:cs="宋体"/>
                <w:color w:val="auto"/>
                <w:spacing w:val="0"/>
                <w:w w:val="100"/>
                <w:sz w:val="24"/>
                <w:highlight w:val="none"/>
                <w:lang w:eastAsia="zh-CN"/>
              </w:rPr>
              <w:t>（</w:t>
            </w:r>
            <w:r>
              <w:rPr>
                <w:rFonts w:hint="eastAsia" w:ascii="宋体" w:hAnsi="宋体" w:eastAsia="宋体" w:cs="宋体"/>
                <w:color w:val="auto"/>
                <w:spacing w:val="0"/>
                <w:w w:val="100"/>
                <w:sz w:val="24"/>
                <w:highlight w:val="none"/>
                <w:lang w:val="en-US" w:eastAsia="zh-CN"/>
              </w:rPr>
              <w:t>12</w:t>
            </w:r>
            <w:r>
              <w:rPr>
                <w:rFonts w:hint="eastAsia" w:ascii="宋体" w:hAnsi="宋体" w:eastAsia="宋体" w:cs="宋体"/>
                <w:color w:val="auto"/>
                <w:spacing w:val="0"/>
                <w:w w:val="100"/>
                <w:sz w:val="24"/>
                <w:highlight w:val="none"/>
                <w:lang w:eastAsia="zh-CN"/>
              </w:rPr>
              <w:t>）权利义务符合招标文件规定：</w:t>
            </w:r>
          </w:p>
        </w:tc>
      </w:tr>
    </w:tbl>
    <w:p w14:paraId="54DEEE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outlineLvl w:val="9"/>
        <w:rPr>
          <w:rFonts w:hint="eastAsia" w:ascii="宋体" w:hAnsi="宋体" w:eastAsia="宋体" w:cs="宋体"/>
          <w:b/>
          <w:color w:val="auto"/>
          <w:spacing w:val="0"/>
          <w:w w:val="100"/>
          <w:sz w:val="24"/>
          <w:highlight w:val="none"/>
          <w:lang w:eastAsia="en-US"/>
        </w:rPr>
      </w:pPr>
      <w:r>
        <w:rPr>
          <w:rFonts w:hint="eastAsia" w:ascii="宋体" w:hAnsi="宋体" w:eastAsia="宋体" w:cs="宋体"/>
          <w:b/>
          <w:color w:val="auto"/>
          <w:spacing w:val="0"/>
          <w:w w:val="100"/>
          <w:sz w:val="24"/>
          <w:highlight w:val="none"/>
          <w:lang w:eastAsia="en-US"/>
        </w:rPr>
        <w:br w:type="page"/>
      </w:r>
      <w:r>
        <w:rPr>
          <w:rFonts w:hint="eastAsia" w:ascii="宋体" w:hAnsi="宋体" w:eastAsia="宋体" w:cs="宋体"/>
          <w:color w:val="auto"/>
          <w:spacing w:val="0"/>
          <w:w w:val="100"/>
          <w:highlight w:val="none"/>
          <w:lang w:eastAsia="en-US"/>
        </w:rPr>
        <w:t>续上表</w:t>
      </w:r>
    </w:p>
    <w:tbl>
      <w:tblPr>
        <w:tblStyle w:val="3"/>
        <w:tblW w:w="9079" w:type="dxa"/>
        <w:jc w:val="center"/>
        <w:tblLayout w:type="fixed"/>
        <w:tblCellMar>
          <w:top w:w="0" w:type="dxa"/>
          <w:left w:w="0" w:type="dxa"/>
          <w:bottom w:w="0" w:type="dxa"/>
          <w:right w:w="0" w:type="dxa"/>
        </w:tblCellMar>
      </w:tblPr>
      <w:tblGrid>
        <w:gridCol w:w="909"/>
        <w:gridCol w:w="1136"/>
        <w:gridCol w:w="7034"/>
      </w:tblGrid>
      <w:tr w14:paraId="666F349C">
        <w:tblPrEx>
          <w:tblCellMar>
            <w:top w:w="0" w:type="dxa"/>
            <w:left w:w="0" w:type="dxa"/>
            <w:bottom w:w="0" w:type="dxa"/>
            <w:right w:w="0" w:type="dxa"/>
          </w:tblCellMar>
        </w:tblPrEx>
        <w:trPr>
          <w:trHeight w:val="419" w:hRule="atLeast"/>
          <w:jc w:val="center"/>
        </w:trPr>
        <w:tc>
          <w:tcPr>
            <w:tcW w:w="2045" w:type="dxa"/>
            <w:gridSpan w:val="2"/>
            <w:tcBorders>
              <w:top w:val="single" w:color="000000" w:sz="4" w:space="0"/>
              <w:left w:val="single" w:color="000000" w:sz="4" w:space="0"/>
              <w:bottom w:val="single" w:color="auto" w:sz="4" w:space="0"/>
              <w:right w:val="single" w:color="000000" w:sz="4" w:space="0"/>
            </w:tcBorders>
            <w:noWrap w:val="0"/>
            <w:tcMar>
              <w:top w:w="0" w:type="dxa"/>
              <w:left w:w="0" w:type="dxa"/>
              <w:bottom w:w="0" w:type="dxa"/>
              <w:right w:w="0" w:type="dxa"/>
            </w:tcMar>
            <w:vAlign w:val="center"/>
          </w:tcPr>
          <w:p w14:paraId="255F42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b/>
                <w:color w:val="auto"/>
                <w:spacing w:val="0"/>
                <w:w w:val="100"/>
                <w:sz w:val="24"/>
                <w:highlight w:val="none"/>
                <w:lang w:eastAsia="en-US"/>
              </w:rPr>
              <w:t>条款号</w:t>
            </w:r>
          </w:p>
        </w:tc>
        <w:tc>
          <w:tcPr>
            <w:tcW w:w="7034" w:type="dxa"/>
            <w:tcBorders>
              <w:top w:val="single" w:color="000000" w:sz="4" w:space="0"/>
              <w:left w:val="single" w:color="000000" w:sz="4" w:space="0"/>
              <w:bottom w:val="single" w:color="auto" w:sz="4" w:space="0"/>
              <w:right w:val="single" w:color="000000" w:sz="4" w:space="0"/>
            </w:tcBorders>
            <w:noWrap w:val="0"/>
            <w:tcMar>
              <w:top w:w="0" w:type="dxa"/>
              <w:left w:w="0" w:type="dxa"/>
              <w:bottom w:w="0" w:type="dxa"/>
              <w:right w:w="0" w:type="dxa"/>
            </w:tcMar>
            <w:vAlign w:val="center"/>
          </w:tcPr>
          <w:p w14:paraId="09E99D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b/>
                <w:color w:val="auto"/>
                <w:spacing w:val="0"/>
                <w:w w:val="100"/>
                <w:sz w:val="24"/>
                <w:highlight w:val="none"/>
                <w:lang w:eastAsia="en-US"/>
              </w:rPr>
              <w:t>评审因素与评审标准</w:t>
            </w:r>
          </w:p>
        </w:tc>
      </w:tr>
      <w:tr w14:paraId="059FD341">
        <w:tblPrEx>
          <w:tblCellMar>
            <w:top w:w="0" w:type="dxa"/>
            <w:left w:w="0" w:type="dxa"/>
            <w:bottom w:w="0" w:type="dxa"/>
            <w:right w:w="0" w:type="dxa"/>
          </w:tblCellMar>
        </w:tblPrEx>
        <w:trPr>
          <w:trHeight w:val="0" w:hRule="atLeast"/>
          <w:jc w:val="center"/>
        </w:trPr>
        <w:tc>
          <w:tcPr>
            <w:tcW w:w="909" w:type="dxa"/>
            <w:vMerge w:val="restart"/>
            <w:tcBorders>
              <w:top w:val="single" w:color="000000" w:sz="4" w:space="0"/>
              <w:left w:val="single" w:color="000000" w:sz="4" w:space="0"/>
              <w:right w:val="single" w:color="000000" w:sz="4" w:space="0"/>
            </w:tcBorders>
            <w:noWrap w:val="0"/>
            <w:tcMar>
              <w:top w:w="0" w:type="dxa"/>
              <w:left w:w="0" w:type="dxa"/>
              <w:bottom w:w="0" w:type="dxa"/>
              <w:right w:w="0" w:type="dxa"/>
            </w:tcMar>
            <w:vAlign w:val="center"/>
          </w:tcPr>
          <w:p w14:paraId="6F9679CE">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auto"/>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2.1.1</w:t>
            </w:r>
          </w:p>
          <w:p w14:paraId="148FD946">
            <w:pPr>
              <w:pStyle w:val="6"/>
              <w:ind w:left="0" w:leftChars="0" w:firstLine="0" w:firstLineChars="0"/>
              <w:jc w:val="center"/>
              <w:rPr>
                <w:rFonts w:hint="eastAsia" w:ascii="宋体" w:hAnsi="宋体" w:eastAsia="宋体" w:cs="宋体"/>
                <w:color w:val="auto"/>
                <w:spacing w:val="0"/>
                <w:w w:val="100"/>
                <w:sz w:val="24"/>
                <w:highlight w:val="none"/>
              </w:rPr>
            </w:pPr>
            <w:r>
              <w:rPr>
                <w:rFonts w:hint="eastAsia" w:eastAsia="宋体" w:cs="宋体"/>
                <w:color w:val="auto"/>
                <w:spacing w:val="0"/>
                <w:w w:val="100"/>
                <w:sz w:val="24"/>
                <w:highlight w:val="none"/>
                <w:lang w:val="en-US" w:eastAsia="zh-CN"/>
              </w:rPr>
              <w:t>2.1.3</w:t>
            </w:r>
          </w:p>
        </w:tc>
        <w:tc>
          <w:tcPr>
            <w:tcW w:w="1136" w:type="dxa"/>
            <w:vMerge w:val="restart"/>
            <w:tcBorders>
              <w:top w:val="single" w:color="000000" w:sz="4" w:space="0"/>
              <w:left w:val="single" w:color="000000" w:sz="4" w:space="0"/>
              <w:right w:val="single" w:color="000000" w:sz="4" w:space="0"/>
            </w:tcBorders>
            <w:noWrap w:val="0"/>
            <w:tcMar>
              <w:top w:w="0" w:type="dxa"/>
              <w:left w:w="0" w:type="dxa"/>
              <w:bottom w:w="0" w:type="dxa"/>
              <w:right w:w="0" w:type="dxa"/>
            </w:tcMar>
            <w:vAlign w:val="center"/>
          </w:tcPr>
          <w:p w14:paraId="58C8FA21">
            <w:pPr>
              <w:jc w:val="center"/>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形式评审与响应性评审标准</w:t>
            </w:r>
          </w:p>
        </w:tc>
        <w:tc>
          <w:tcPr>
            <w:tcW w:w="7034" w:type="dxa"/>
            <w:tcBorders>
              <w:top w:val="single" w:color="000000" w:sz="4" w:space="0"/>
              <w:left w:val="single" w:color="000000" w:sz="4" w:space="0"/>
              <w:bottom w:val="single" w:color="auto" w:sz="4" w:space="0"/>
              <w:right w:val="single" w:color="000000" w:sz="4" w:space="0"/>
            </w:tcBorders>
            <w:noWrap w:val="0"/>
            <w:tcMar>
              <w:top w:w="0" w:type="dxa"/>
              <w:left w:w="0" w:type="dxa"/>
              <w:bottom w:w="0" w:type="dxa"/>
              <w:right w:w="0" w:type="dxa"/>
            </w:tcMar>
            <w:vAlign w:val="top"/>
          </w:tcPr>
          <w:p w14:paraId="39E4952B">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eastAsia="zh-CN"/>
              </w:rPr>
              <w:t>a.投标人应接受招标文件规定的风险划分原则，未提出新的风险划</w:t>
            </w:r>
          </w:p>
          <w:p w14:paraId="16CDA3DB">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eastAsia="zh-CN"/>
              </w:rPr>
              <w:t>分办法；</w:t>
            </w:r>
          </w:p>
          <w:p w14:paraId="5467C4CC">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eastAsia="zh-CN"/>
              </w:rPr>
              <w:t>b.投标人未增加发包人的责任范围，或减少投标人义务；</w:t>
            </w:r>
          </w:p>
          <w:p w14:paraId="7FD96283">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eastAsia="zh-CN"/>
              </w:rPr>
              <w:t>c.投标人未提出不同的工程验收、计量、支付办法；</w:t>
            </w:r>
          </w:p>
          <w:p w14:paraId="481C1C41">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eastAsia="zh-CN"/>
              </w:rPr>
              <w:t>d.投标人对合同纠纷、事故处理办法未提出异议；</w:t>
            </w:r>
          </w:p>
          <w:p w14:paraId="0D978B69">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lang w:eastAsia="zh-CN"/>
              </w:rPr>
              <w:t>e.投标人在投标活动中无欺诈行为；</w:t>
            </w:r>
          </w:p>
          <w:p w14:paraId="01C83B69">
            <w:pPr>
              <w:keepNext w:val="0"/>
              <w:keepLines w:val="0"/>
              <w:pageBreakBefore w:val="0"/>
              <w:widowControl w:val="0"/>
              <w:kinsoku/>
              <w:wordWrap/>
              <w:overflowPunct/>
              <w:topLinePunct w:val="0"/>
              <w:autoSpaceDE/>
              <w:autoSpaceDN/>
              <w:bidi w:val="0"/>
              <w:adjustRightInd/>
              <w:snapToGrid w:val="0"/>
              <w:spacing w:line="240" w:lineRule="auto"/>
              <w:ind w:left="0" w:right="0" w:firstLine="0" w:firstLineChars="0"/>
              <w:jc w:val="left"/>
              <w:textAlignment w:val="auto"/>
              <w:outlineLvl w:val="9"/>
              <w:rPr>
                <w:rFonts w:hint="eastAsia"/>
              </w:rPr>
            </w:pPr>
            <w:r>
              <w:rPr>
                <w:rFonts w:hint="eastAsia" w:ascii="宋体" w:hAnsi="宋体" w:eastAsia="宋体" w:cs="宋体"/>
                <w:color w:val="auto"/>
                <w:spacing w:val="0"/>
                <w:w w:val="100"/>
                <w:sz w:val="24"/>
                <w:highlight w:val="none"/>
                <w:lang w:eastAsia="zh-CN"/>
              </w:rPr>
              <w:t>f.投标人未对合同条款有重要保留。</w:t>
            </w:r>
          </w:p>
        </w:tc>
      </w:tr>
      <w:tr w14:paraId="23ACBCD0">
        <w:tblPrEx>
          <w:tblCellMar>
            <w:top w:w="0" w:type="dxa"/>
            <w:left w:w="0" w:type="dxa"/>
            <w:bottom w:w="0" w:type="dxa"/>
            <w:right w:w="0" w:type="dxa"/>
          </w:tblCellMar>
        </w:tblPrEx>
        <w:trPr>
          <w:trHeight w:val="5389" w:hRule="atLeast"/>
          <w:jc w:val="center"/>
        </w:trPr>
        <w:tc>
          <w:tcPr>
            <w:tcW w:w="909" w:type="dxa"/>
            <w:vMerge w:val="continue"/>
            <w:tcBorders>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7B0D3E9">
            <w:pPr>
              <w:snapToGrid w:val="0"/>
              <w:spacing w:before="159"/>
              <w:ind w:left="235"/>
              <w:jc w:val="left"/>
              <w:outlineLvl w:val="9"/>
              <w:rPr>
                <w:rFonts w:hint="eastAsia" w:ascii="宋体" w:hAnsi="宋体" w:eastAsia="宋体" w:cs="宋体"/>
                <w:color w:val="auto"/>
                <w:spacing w:val="0"/>
                <w:w w:val="100"/>
                <w:sz w:val="24"/>
                <w:highlight w:val="none"/>
              </w:rPr>
            </w:pPr>
          </w:p>
        </w:tc>
        <w:tc>
          <w:tcPr>
            <w:tcW w:w="1136" w:type="dxa"/>
            <w:vMerge w:val="continue"/>
            <w:tcBorders>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71D7511B">
            <w:pPr>
              <w:outlineLvl w:val="9"/>
              <w:rPr>
                <w:rFonts w:hint="eastAsia" w:ascii="宋体" w:hAnsi="宋体" w:eastAsia="宋体" w:cs="宋体"/>
                <w:color w:val="auto"/>
                <w:spacing w:val="0"/>
                <w:w w:val="100"/>
                <w:sz w:val="24"/>
                <w:highlight w:val="none"/>
              </w:rPr>
            </w:pPr>
          </w:p>
        </w:tc>
        <w:tc>
          <w:tcPr>
            <w:tcW w:w="70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81FC059">
            <w:pPr>
              <w:snapToGrid w:val="0"/>
              <w:spacing w:line="360" w:lineRule="exact"/>
              <w:jc w:val="left"/>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第二个信封（报价文件）评审标准：</w:t>
            </w:r>
          </w:p>
          <w:p w14:paraId="7A3EAACB">
            <w:pPr>
              <w:ind w:firstLine="480" w:firstLineChars="200"/>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（1）投标文件按照招标文件规定的格式、内容填写，字迹清晰可辨：</w:t>
            </w:r>
          </w:p>
          <w:p w14:paraId="0E660A49">
            <w:pPr>
              <w:ind w:firstLine="480" w:firstLineChars="200"/>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a.投标函按招标文件规定填报了项目名称、标段号、补遗书编号（如有）、投标价（包括大写金额和小写金额）；</w:t>
            </w:r>
          </w:p>
          <w:p w14:paraId="5AAEA53C">
            <w:pPr>
              <w:ind w:firstLine="480" w:firstLineChars="200"/>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b.已标价工程量清单说明文字与招标文件规定一致，未进行实质性修改和删减；</w:t>
            </w:r>
          </w:p>
          <w:p w14:paraId="4AFB709C">
            <w:pPr>
              <w:ind w:firstLine="480" w:firstLineChars="200"/>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c.投标文件组成齐全完整，内容均按规定填写。</w:t>
            </w:r>
          </w:p>
          <w:p w14:paraId="399FCC31">
            <w:pPr>
              <w:ind w:firstLine="480" w:firstLineChars="200"/>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（2）投标文件上法定代表人或其委托代理人的签字</w:t>
            </w:r>
            <w:r>
              <w:rPr>
                <w:rFonts w:hint="eastAsia" w:ascii="宋体" w:hAnsi="宋体" w:eastAsia="宋体" w:cs="宋体"/>
                <w:color w:val="auto"/>
                <w:spacing w:val="0"/>
                <w:w w:val="100"/>
                <w:sz w:val="24"/>
                <w:highlight w:val="none"/>
                <w:lang w:val="en-US" w:eastAsia="zh-CN"/>
              </w:rPr>
              <w:t>或盖章</w:t>
            </w:r>
            <w:r>
              <w:rPr>
                <w:rFonts w:hint="eastAsia" w:ascii="宋体" w:hAnsi="宋体" w:eastAsia="宋体" w:cs="宋体"/>
                <w:color w:val="auto"/>
                <w:spacing w:val="0"/>
                <w:w w:val="100"/>
                <w:sz w:val="24"/>
                <w:highlight w:val="none"/>
              </w:rPr>
              <w:t>、投标人的单位章盖章齐全，符合招标文件规定。</w:t>
            </w:r>
          </w:p>
          <w:p w14:paraId="49620734">
            <w:pPr>
              <w:ind w:firstLine="480" w:firstLineChars="200"/>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（3）投标报价未超过招标文件设定的最高投标限价。</w:t>
            </w:r>
          </w:p>
          <w:p w14:paraId="5D854814">
            <w:pPr>
              <w:ind w:firstLine="480" w:firstLineChars="200"/>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（4）投标报价中报价的大写金额能够确定具体数值。</w:t>
            </w:r>
          </w:p>
          <w:p w14:paraId="457CAB7C">
            <w:pPr>
              <w:ind w:firstLine="480" w:firstLineChars="200"/>
              <w:outlineLvl w:val="9"/>
              <w:rPr>
                <w:rFonts w:hint="eastAsia" w:ascii="宋体" w:hAnsi="宋体" w:eastAsia="宋体" w:cs="宋体"/>
                <w:color w:val="auto"/>
                <w:spacing w:val="0"/>
                <w:w w:val="100"/>
                <w:sz w:val="24"/>
                <w:highlight w:val="none"/>
                <w:lang w:val="en-US" w:eastAsia="zh-CN"/>
              </w:rPr>
            </w:pPr>
            <w:r>
              <w:rPr>
                <w:rFonts w:hint="eastAsia" w:ascii="宋体" w:hAnsi="宋体" w:eastAsia="宋体" w:cs="宋体"/>
                <w:color w:val="auto"/>
                <w:spacing w:val="0"/>
                <w:w w:val="100"/>
                <w:sz w:val="24"/>
                <w:highlight w:val="none"/>
                <w:lang w:val="en-US" w:eastAsia="zh-CN"/>
              </w:rPr>
              <w:t>（5）同一投标人未提交两个以上不同的投标报价，但招标文件要求提交备选投标的除外。</w:t>
            </w:r>
          </w:p>
          <w:p w14:paraId="2DC2CE3D">
            <w:pPr>
              <w:ind w:firstLine="480" w:firstLineChars="200"/>
              <w:outlineLvl w:val="9"/>
              <w:rPr>
                <w:rFonts w:hint="eastAsia"/>
              </w:rPr>
            </w:pPr>
            <w:r>
              <w:rPr>
                <w:rFonts w:hint="eastAsia" w:ascii="宋体" w:hAnsi="宋体" w:eastAsia="宋体" w:cs="宋体"/>
                <w:color w:val="auto"/>
                <w:spacing w:val="0"/>
                <w:w w:val="100"/>
                <w:sz w:val="24"/>
                <w:highlight w:val="none"/>
              </w:rPr>
              <w:t>（</w:t>
            </w:r>
            <w:r>
              <w:rPr>
                <w:rFonts w:hint="eastAsia" w:ascii="宋体" w:hAnsi="宋体" w:eastAsia="宋体" w:cs="宋体"/>
                <w:color w:val="auto"/>
                <w:spacing w:val="0"/>
                <w:w w:val="100"/>
                <w:sz w:val="24"/>
                <w:highlight w:val="none"/>
                <w:lang w:val="en-US" w:eastAsia="zh-CN"/>
              </w:rPr>
              <w:t>6</w:t>
            </w:r>
            <w:r>
              <w:rPr>
                <w:rFonts w:hint="eastAsia" w:ascii="宋体" w:hAnsi="宋体" w:eastAsia="宋体" w:cs="宋体"/>
                <w:color w:val="auto"/>
                <w:spacing w:val="0"/>
                <w:w w:val="100"/>
                <w:sz w:val="24"/>
                <w:highlight w:val="none"/>
              </w:rPr>
              <w:t>）</w:t>
            </w:r>
            <w:r>
              <w:rPr>
                <w:rFonts w:hint="eastAsia" w:ascii="宋体" w:hAnsi="宋体" w:eastAsia="宋体" w:cs="宋体"/>
                <w:color w:val="auto"/>
                <w:spacing w:val="0"/>
                <w:w w:val="100"/>
                <w:sz w:val="24"/>
                <w:highlight w:val="none"/>
                <w:lang w:val="en-US" w:eastAsia="zh-CN"/>
              </w:rPr>
              <w:t>投标人若填写工程量固化清单，填写完毕的工程量固化清单未对工程量固化清单电子文件中的数据、格式和运算定义进行修改；工程量固化清单中的投标报价和投标函大写金额报价一致。</w:t>
            </w:r>
          </w:p>
        </w:tc>
      </w:tr>
      <w:tr w14:paraId="6EFFD5D5">
        <w:tblPrEx>
          <w:tblCellMar>
            <w:top w:w="0" w:type="dxa"/>
            <w:left w:w="0" w:type="dxa"/>
            <w:bottom w:w="0" w:type="dxa"/>
            <w:right w:w="0" w:type="dxa"/>
          </w:tblCellMar>
        </w:tblPrEx>
        <w:trPr>
          <w:trHeight w:val="0" w:hRule="atLeast"/>
          <w:jc w:val="center"/>
        </w:trPr>
        <w:tc>
          <w:tcPr>
            <w:tcW w:w="90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A92E465">
            <w:pPr>
              <w:snapToGrid w:val="0"/>
              <w:spacing w:line="340" w:lineRule="exact"/>
              <w:jc w:val="center"/>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2.1.2</w:t>
            </w:r>
          </w:p>
        </w:tc>
        <w:tc>
          <w:tcPr>
            <w:tcW w:w="113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7E6C273">
            <w:pPr>
              <w:ind w:firstLine="480" w:firstLineChars="200"/>
              <w:outlineLvl w:val="9"/>
              <w:rPr>
                <w:rFonts w:hint="eastAsia" w:ascii="宋体" w:hAnsi="宋体" w:eastAsia="宋体" w:cs="宋体"/>
                <w:color w:val="auto"/>
                <w:spacing w:val="0"/>
                <w:w w:val="100"/>
                <w:sz w:val="24"/>
                <w:highlight w:val="none"/>
              </w:rPr>
            </w:pPr>
          </w:p>
          <w:p w14:paraId="1CED7D40">
            <w:pPr>
              <w:jc w:val="center"/>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lang w:eastAsia="en-US"/>
              </w:rPr>
              <w:t>资格评审标准</w:t>
            </w:r>
          </w:p>
          <w:p w14:paraId="332918C1">
            <w:pPr>
              <w:ind w:firstLine="480" w:firstLineChars="200"/>
              <w:outlineLvl w:val="9"/>
              <w:rPr>
                <w:rFonts w:hint="eastAsia" w:ascii="宋体" w:hAnsi="宋体" w:eastAsia="宋体" w:cs="宋体"/>
                <w:color w:val="auto"/>
                <w:spacing w:val="0"/>
                <w:w w:val="100"/>
                <w:sz w:val="24"/>
                <w:highlight w:val="none"/>
              </w:rPr>
            </w:pPr>
          </w:p>
        </w:tc>
        <w:tc>
          <w:tcPr>
            <w:tcW w:w="703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top"/>
          </w:tcPr>
          <w:p w14:paraId="319A5BDD">
            <w:pPr>
              <w:snapToGrid w:val="0"/>
              <w:spacing w:line="360" w:lineRule="exact"/>
              <w:jc w:val="left"/>
              <w:outlineLvl w:val="9"/>
              <w:rPr>
                <w:rFonts w:hint="eastAsia" w:ascii="宋体" w:hAnsi="宋体" w:eastAsia="宋体" w:cs="宋体"/>
                <w:color w:val="auto"/>
                <w:spacing w:val="0"/>
                <w:w w:val="100"/>
                <w:sz w:val="24"/>
                <w:highlight w:val="none"/>
                <w:lang w:eastAsia="zh-CN"/>
              </w:rPr>
            </w:pPr>
            <w:r>
              <w:rPr>
                <w:rFonts w:hint="eastAsia" w:ascii="宋体" w:hAnsi="宋体" w:eastAsia="宋体" w:cs="宋体"/>
                <w:color w:val="auto"/>
                <w:spacing w:val="0"/>
                <w:w w:val="100"/>
                <w:sz w:val="24"/>
                <w:highlight w:val="none"/>
              </w:rPr>
              <w:t>（1）投标人具备有效的营业执照、资质证书、安全生产许可证和基本账户开户许可证或基本存款账户信息</w:t>
            </w:r>
            <w:r>
              <w:rPr>
                <w:rFonts w:hint="eastAsia" w:ascii="宋体" w:hAnsi="宋体" w:eastAsia="宋体" w:cs="宋体"/>
                <w:color w:val="auto"/>
                <w:spacing w:val="0"/>
                <w:w w:val="100"/>
                <w:sz w:val="24"/>
                <w:highlight w:val="none"/>
                <w:lang w:eastAsia="zh-CN"/>
              </w:rPr>
              <w:t>。</w:t>
            </w:r>
          </w:p>
          <w:p w14:paraId="2585D2A6">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（2）投标人的资质等级符合招标文件规定。</w:t>
            </w:r>
          </w:p>
          <w:p w14:paraId="5D884C71">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（3）投标人的财务状况符合招标文件规定。</w:t>
            </w:r>
          </w:p>
          <w:p w14:paraId="64227E2D">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（4）投标人的类似项目业绩符合招标文件规定。</w:t>
            </w:r>
          </w:p>
          <w:p w14:paraId="530978A8">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（5）投标人的信誉符合招标文件规定。</w:t>
            </w:r>
          </w:p>
          <w:p w14:paraId="7A3230C4">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（6）投标人的项目经理和项目总工资格、在岗情况符合招标文件规定。</w:t>
            </w:r>
          </w:p>
          <w:p w14:paraId="10D84EF8">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（7）投标人的其他要求符合招标文件规定。</w:t>
            </w:r>
          </w:p>
          <w:p w14:paraId="2882F12E">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（8）投标人不存在第二章“投标人须知”第1.4.3项或第1.4.4 项规定的任何一种情形。</w:t>
            </w:r>
          </w:p>
          <w:p w14:paraId="6938B274">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（9）投标人符合第二章“投标人须知”第1.4.5项规定</w:t>
            </w:r>
            <w:r>
              <w:rPr>
                <w:rFonts w:hint="eastAsia" w:ascii="宋体" w:hAnsi="宋体" w:eastAsia="宋体" w:cs="宋体"/>
                <w:color w:val="auto"/>
                <w:spacing w:val="0"/>
                <w:w w:val="100"/>
                <w:sz w:val="24"/>
                <w:highlight w:val="none"/>
                <w:lang w:eastAsia="zh-CN"/>
              </w:rPr>
              <w:t>。</w:t>
            </w:r>
          </w:p>
        </w:tc>
      </w:tr>
    </w:tbl>
    <w:p w14:paraId="43E560E7">
      <w:pPr>
        <w:snapToGrid w:val="0"/>
        <w:jc w:val="left"/>
        <w:outlineLvl w:val="9"/>
        <w:rPr>
          <w:rFonts w:hint="eastAsia" w:ascii="宋体" w:hAnsi="宋体" w:eastAsia="宋体" w:cs="宋体"/>
          <w:color w:val="auto"/>
          <w:spacing w:val="0"/>
          <w:w w:val="100"/>
          <w:sz w:val="18"/>
          <w:highlight w:val="none"/>
        </w:rPr>
      </w:pPr>
    </w:p>
    <w:p w14:paraId="60231F4E">
      <w:pPr>
        <w:snapToGrid w:val="0"/>
        <w:jc w:val="right"/>
        <w:outlineLvl w:val="9"/>
        <w:rPr>
          <w:rFonts w:hint="eastAsia" w:ascii="宋体" w:hAnsi="宋体" w:eastAsia="宋体" w:cs="宋体"/>
          <w:color w:val="auto"/>
          <w:spacing w:val="0"/>
          <w:w w:val="100"/>
          <w:sz w:val="20"/>
          <w:highlight w:val="none"/>
        </w:rPr>
      </w:pPr>
      <w:r>
        <w:rPr>
          <w:rFonts w:hint="eastAsia" w:ascii="宋体" w:hAnsi="宋体" w:eastAsia="宋体" w:cs="宋体"/>
          <w:color w:val="auto"/>
          <w:spacing w:val="0"/>
          <w:w w:val="100"/>
          <w:highlight w:val="none"/>
          <w:lang w:eastAsia="en-US"/>
        </w:rPr>
        <w:t>续上表</w:t>
      </w:r>
    </w:p>
    <w:tbl>
      <w:tblPr>
        <w:tblStyle w:val="3"/>
        <w:tblW w:w="9439" w:type="dxa"/>
        <w:jc w:val="center"/>
        <w:tblLayout w:type="fixed"/>
        <w:tblCellMar>
          <w:top w:w="0" w:type="dxa"/>
          <w:left w:w="0" w:type="dxa"/>
          <w:bottom w:w="0" w:type="dxa"/>
          <w:right w:w="0" w:type="dxa"/>
        </w:tblCellMar>
      </w:tblPr>
      <w:tblGrid>
        <w:gridCol w:w="990"/>
        <w:gridCol w:w="1548"/>
        <w:gridCol w:w="6901"/>
      </w:tblGrid>
      <w:tr w14:paraId="67288E2E">
        <w:tblPrEx>
          <w:tblCellMar>
            <w:top w:w="0" w:type="dxa"/>
            <w:left w:w="0" w:type="dxa"/>
            <w:bottom w:w="0" w:type="dxa"/>
            <w:right w:w="0" w:type="dxa"/>
          </w:tblCellMar>
        </w:tblPrEx>
        <w:trPr>
          <w:trHeight w:val="819" w:hRule="atLeast"/>
          <w:jc w:val="center"/>
        </w:trPr>
        <w:tc>
          <w:tcPr>
            <w:tcW w:w="990" w:type="dxa"/>
            <w:tcBorders>
              <w:top w:val="single" w:color="000000" w:sz="12" w:space="0"/>
              <w:left w:val="single" w:color="000000" w:sz="12" w:space="0"/>
              <w:bottom w:val="single" w:color="000000" w:sz="6" w:space="0"/>
              <w:right w:val="single" w:color="000000" w:sz="6" w:space="0"/>
            </w:tcBorders>
            <w:noWrap w:val="0"/>
            <w:tcMar>
              <w:top w:w="0" w:type="dxa"/>
              <w:left w:w="0" w:type="dxa"/>
              <w:bottom w:w="0" w:type="dxa"/>
              <w:right w:w="0" w:type="dxa"/>
            </w:tcMar>
            <w:vAlign w:val="center"/>
          </w:tcPr>
          <w:p w14:paraId="507F95B7">
            <w:pPr>
              <w:snapToGrid w:val="0"/>
              <w:ind w:right="113"/>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条款号</w:t>
            </w:r>
          </w:p>
        </w:tc>
        <w:tc>
          <w:tcPr>
            <w:tcW w:w="1548" w:type="dxa"/>
            <w:tcBorders>
              <w:top w:val="single" w:color="000000" w:sz="12"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EEA7E8B">
            <w:pPr>
              <w:snapToGrid w:val="0"/>
              <w:ind w:right="113"/>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条款内容</w:t>
            </w:r>
          </w:p>
        </w:tc>
        <w:tc>
          <w:tcPr>
            <w:tcW w:w="6901" w:type="dxa"/>
            <w:tcBorders>
              <w:top w:val="single" w:color="000000" w:sz="12" w:space="0"/>
              <w:left w:val="single" w:color="000000" w:sz="6" w:space="0"/>
              <w:bottom w:val="single" w:color="000000" w:sz="6" w:space="0"/>
              <w:right w:val="single" w:color="000000" w:sz="12" w:space="0"/>
            </w:tcBorders>
            <w:noWrap w:val="0"/>
            <w:tcMar>
              <w:top w:w="0" w:type="dxa"/>
              <w:left w:w="0" w:type="dxa"/>
              <w:bottom w:w="0" w:type="dxa"/>
              <w:right w:w="0" w:type="dxa"/>
            </w:tcMar>
            <w:vAlign w:val="center"/>
          </w:tcPr>
          <w:p w14:paraId="3F1EEAFD">
            <w:pPr>
              <w:snapToGrid w:val="0"/>
              <w:ind w:right="113"/>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编 列 内 容</w:t>
            </w:r>
          </w:p>
        </w:tc>
      </w:tr>
      <w:tr w14:paraId="2CE8929C">
        <w:tblPrEx>
          <w:tblCellMar>
            <w:top w:w="0" w:type="dxa"/>
            <w:left w:w="0" w:type="dxa"/>
            <w:bottom w:w="0" w:type="dxa"/>
            <w:right w:w="0" w:type="dxa"/>
          </w:tblCellMar>
        </w:tblPrEx>
        <w:trPr>
          <w:trHeight w:val="1380" w:hRule="atLeast"/>
          <w:jc w:val="center"/>
        </w:trPr>
        <w:tc>
          <w:tcPr>
            <w:tcW w:w="990" w:type="dxa"/>
            <w:tcBorders>
              <w:top w:val="single" w:color="000000" w:sz="6" w:space="0"/>
              <w:left w:val="single" w:color="000000" w:sz="12" w:space="0"/>
              <w:bottom w:val="single" w:color="000000" w:sz="6" w:space="0"/>
              <w:right w:val="single" w:color="000000" w:sz="6" w:space="0"/>
            </w:tcBorders>
            <w:noWrap w:val="0"/>
            <w:tcMar>
              <w:top w:w="0" w:type="dxa"/>
              <w:left w:w="0" w:type="dxa"/>
              <w:bottom w:w="0" w:type="dxa"/>
              <w:right w:w="0" w:type="dxa"/>
            </w:tcMar>
            <w:vAlign w:val="center"/>
          </w:tcPr>
          <w:p w14:paraId="1BA3EB65">
            <w:pPr>
              <w:snapToGrid w:val="0"/>
              <w:ind w:left="120" w:right="113" w:hanging="120"/>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2.2.1</w:t>
            </w:r>
          </w:p>
        </w:tc>
        <w:tc>
          <w:tcPr>
            <w:tcW w:w="15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94B3AB5">
            <w:pPr>
              <w:snapToGrid w:val="0"/>
              <w:ind w:right="113"/>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分值构成</w:t>
            </w:r>
          </w:p>
          <w:p w14:paraId="2B404867">
            <w:pPr>
              <w:snapToGrid w:val="0"/>
              <w:ind w:right="113"/>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（总分100分）</w:t>
            </w:r>
          </w:p>
        </w:tc>
        <w:tc>
          <w:tcPr>
            <w:tcW w:w="6901" w:type="dxa"/>
            <w:tcBorders>
              <w:top w:val="single" w:color="000000" w:sz="6" w:space="0"/>
              <w:left w:val="single" w:color="000000" w:sz="6" w:space="0"/>
              <w:bottom w:val="single" w:color="000000" w:sz="6" w:space="0"/>
              <w:right w:val="single" w:color="000000" w:sz="12" w:space="0"/>
            </w:tcBorders>
            <w:noWrap w:val="0"/>
            <w:tcMar>
              <w:top w:w="0" w:type="dxa"/>
              <w:left w:w="0" w:type="dxa"/>
              <w:bottom w:w="0" w:type="dxa"/>
              <w:right w:w="0" w:type="dxa"/>
            </w:tcMar>
            <w:vAlign w:val="center"/>
          </w:tcPr>
          <w:p w14:paraId="362887EB">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投标人得分=评标价得分</w:t>
            </w:r>
          </w:p>
          <w:p w14:paraId="26552CEC">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评标价：100分</w:t>
            </w:r>
          </w:p>
        </w:tc>
      </w:tr>
      <w:tr w14:paraId="1F4A66F8">
        <w:tblPrEx>
          <w:tblCellMar>
            <w:top w:w="0" w:type="dxa"/>
            <w:left w:w="0" w:type="dxa"/>
            <w:bottom w:w="0" w:type="dxa"/>
            <w:right w:w="0" w:type="dxa"/>
          </w:tblCellMar>
        </w:tblPrEx>
        <w:trPr>
          <w:trHeight w:val="4420" w:hRule="atLeast"/>
          <w:jc w:val="center"/>
        </w:trPr>
        <w:tc>
          <w:tcPr>
            <w:tcW w:w="990" w:type="dxa"/>
            <w:tcBorders>
              <w:top w:val="single" w:color="000000" w:sz="6" w:space="0"/>
              <w:left w:val="single" w:color="000000" w:sz="12" w:space="0"/>
              <w:bottom w:val="single" w:color="000000" w:sz="6" w:space="0"/>
              <w:right w:val="single" w:color="000000" w:sz="6" w:space="0"/>
            </w:tcBorders>
            <w:noWrap w:val="0"/>
            <w:tcMar>
              <w:top w:w="0" w:type="dxa"/>
              <w:left w:w="0" w:type="dxa"/>
              <w:bottom w:w="0" w:type="dxa"/>
              <w:right w:w="0" w:type="dxa"/>
            </w:tcMar>
            <w:vAlign w:val="center"/>
          </w:tcPr>
          <w:p w14:paraId="79AD2BB3">
            <w:pPr>
              <w:snapToGrid w:val="0"/>
              <w:ind w:right="113"/>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2.2.2</w:t>
            </w:r>
          </w:p>
        </w:tc>
        <w:tc>
          <w:tcPr>
            <w:tcW w:w="15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8AAE105">
            <w:pPr>
              <w:snapToGrid w:val="0"/>
              <w:ind w:left="113" w:right="113"/>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评标基准价计算方法</w:t>
            </w:r>
          </w:p>
        </w:tc>
        <w:tc>
          <w:tcPr>
            <w:tcW w:w="6901" w:type="dxa"/>
            <w:tcBorders>
              <w:top w:val="single" w:color="000000" w:sz="6" w:space="0"/>
              <w:left w:val="single" w:color="000000" w:sz="6" w:space="0"/>
              <w:bottom w:val="single" w:color="000000" w:sz="6" w:space="0"/>
              <w:right w:val="single" w:color="000000" w:sz="12" w:space="0"/>
            </w:tcBorders>
            <w:noWrap w:val="0"/>
            <w:tcMar>
              <w:top w:w="0" w:type="dxa"/>
              <w:left w:w="0" w:type="dxa"/>
              <w:bottom w:w="0" w:type="dxa"/>
              <w:right w:w="0" w:type="dxa"/>
            </w:tcMar>
            <w:vAlign w:val="center"/>
          </w:tcPr>
          <w:p w14:paraId="364188BC">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评标基准价的计算：</w:t>
            </w:r>
          </w:p>
          <w:p w14:paraId="51E04D69">
            <w:pPr>
              <w:snapToGrid w:val="0"/>
              <w:spacing w:line="360" w:lineRule="exact"/>
              <w:jc w:val="left"/>
              <w:outlineLvl w:val="9"/>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（1）评标价的确定：</w:t>
            </w:r>
          </w:p>
          <w:p w14:paraId="02245994">
            <w:pPr>
              <w:snapToGrid w:val="0"/>
              <w:spacing w:line="360" w:lineRule="exact"/>
              <w:jc w:val="left"/>
              <w:outlineLvl w:val="9"/>
              <w:rPr>
                <w:rFonts w:hint="default" w:ascii="宋体" w:hAnsi="宋体" w:eastAsia="宋体" w:cs="宋体"/>
                <w:b/>
                <w:bCs/>
                <w:color w:val="auto"/>
                <w:spacing w:val="0"/>
                <w:w w:val="100"/>
                <w:sz w:val="24"/>
                <w:highlight w:val="none"/>
                <w:lang w:val="en-US" w:eastAsia="zh-CN"/>
              </w:rPr>
            </w:pPr>
            <w:r>
              <w:rPr>
                <w:rFonts w:hint="eastAsia" w:ascii="宋体" w:hAnsi="宋体" w:eastAsia="宋体" w:cs="宋体"/>
                <w:b/>
                <w:bCs/>
                <w:color w:val="auto"/>
                <w:spacing w:val="0"/>
                <w:w w:val="100"/>
                <w:sz w:val="24"/>
                <w:highlight w:val="none"/>
              </w:rPr>
              <w:t>评标价=投标函</w:t>
            </w:r>
            <w:r>
              <w:rPr>
                <w:rFonts w:hint="eastAsia" w:ascii="宋体" w:hAnsi="宋体" w:eastAsia="宋体" w:cs="宋体"/>
                <w:b/>
                <w:bCs/>
                <w:color w:val="auto"/>
                <w:spacing w:val="0"/>
                <w:w w:val="100"/>
                <w:sz w:val="24"/>
                <w:highlight w:val="none"/>
                <w:lang w:eastAsia="zh-CN"/>
              </w:rPr>
              <w:t>总</w:t>
            </w:r>
            <w:r>
              <w:rPr>
                <w:rFonts w:hint="eastAsia" w:ascii="宋体" w:hAnsi="宋体" w:eastAsia="宋体" w:cs="宋体"/>
                <w:b/>
                <w:bCs/>
                <w:color w:val="auto"/>
                <w:spacing w:val="0"/>
                <w:w w:val="100"/>
                <w:sz w:val="24"/>
                <w:highlight w:val="none"/>
              </w:rPr>
              <w:t>报价</w:t>
            </w:r>
          </w:p>
          <w:p w14:paraId="77680266">
            <w:pPr>
              <w:snapToGrid w:val="0"/>
              <w:spacing w:line="360" w:lineRule="exact"/>
              <w:jc w:val="left"/>
              <w:outlineLvl w:val="9"/>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（2）评标价平均值的计算：</w:t>
            </w:r>
          </w:p>
          <w:p w14:paraId="5C88916D">
            <w:pPr>
              <w:snapToGrid w:val="0"/>
              <w:spacing w:line="360" w:lineRule="exact"/>
              <w:jc w:val="left"/>
              <w:outlineLvl w:val="9"/>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除按第二章“投标人须知”第5.2.4项规定开标现场被宣布为不进入评标基准价的投标报价之外，所有投标人的评标价去掉一个最高值和一个最低值后的算术平均值即为评标价平均值（当参与评标价平均值计算的有效投标人大于5家时,投标人的评标价去掉一个最高值和一个最低值后的算术平均值即为评标价平均值，即基准价计算参数n1=1,n2=1;</w:t>
            </w:r>
          </w:p>
          <w:p w14:paraId="70C90669">
            <w:pPr>
              <w:snapToGrid w:val="0"/>
              <w:spacing w:line="360" w:lineRule="exact"/>
              <w:jc w:val="left"/>
              <w:outlineLvl w:val="9"/>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当参与评标价平均值计算的有效投标人等于或少于5家时,则计算评标价平均值时不去掉最高值和最低值，即基准价计算参数n1=0,n2=0。评标价平均值保留</w:t>
            </w:r>
            <w:r>
              <w:rPr>
                <w:rFonts w:hint="eastAsia" w:ascii="宋体" w:hAnsi="宋体" w:eastAsia="宋体" w:cs="宋体"/>
                <w:b/>
                <w:bCs/>
                <w:color w:val="auto"/>
                <w:spacing w:val="0"/>
                <w:w w:val="100"/>
                <w:sz w:val="24"/>
                <w:highlight w:val="none"/>
                <w:lang w:val="en-US" w:eastAsia="zh-CN"/>
              </w:rPr>
              <w:t>2</w:t>
            </w:r>
            <w:r>
              <w:rPr>
                <w:rFonts w:hint="eastAsia" w:ascii="宋体" w:hAnsi="宋体" w:eastAsia="宋体" w:cs="宋体"/>
                <w:b/>
                <w:bCs/>
                <w:color w:val="auto"/>
                <w:spacing w:val="0"/>
                <w:w w:val="100"/>
                <w:sz w:val="24"/>
                <w:highlight w:val="none"/>
              </w:rPr>
              <w:t>位小数。）。</w:t>
            </w:r>
          </w:p>
          <w:p w14:paraId="099A938A">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b/>
                <w:bCs/>
                <w:color w:val="auto"/>
                <w:spacing w:val="0"/>
                <w:w w:val="100"/>
                <w:sz w:val="24"/>
                <w:highlight w:val="none"/>
              </w:rPr>
              <w:t>（3）评标基准价的确定：将评标价平均值直接作为评标基准价。</w:t>
            </w:r>
            <w:r>
              <w:rPr>
                <w:rFonts w:hint="eastAsia" w:ascii="宋体" w:hAnsi="宋体" w:eastAsia="宋体" w:cs="宋体"/>
                <w:color w:val="auto"/>
                <w:spacing w:val="0"/>
                <w:w w:val="100"/>
                <w:sz w:val="24"/>
                <w:highlight w:val="none"/>
              </w:rPr>
              <w:t xml:space="preserve"> </w:t>
            </w:r>
          </w:p>
        </w:tc>
      </w:tr>
      <w:tr w14:paraId="544C433D">
        <w:tblPrEx>
          <w:tblCellMar>
            <w:top w:w="0" w:type="dxa"/>
            <w:left w:w="0" w:type="dxa"/>
            <w:bottom w:w="0" w:type="dxa"/>
            <w:right w:w="0" w:type="dxa"/>
          </w:tblCellMar>
        </w:tblPrEx>
        <w:trPr>
          <w:trHeight w:val="1652" w:hRule="atLeast"/>
          <w:jc w:val="center"/>
        </w:trPr>
        <w:tc>
          <w:tcPr>
            <w:tcW w:w="990" w:type="dxa"/>
            <w:tcBorders>
              <w:top w:val="single" w:color="000000" w:sz="6" w:space="0"/>
              <w:left w:val="single" w:color="000000" w:sz="12" w:space="0"/>
              <w:bottom w:val="single" w:color="000000" w:sz="6" w:space="0"/>
              <w:right w:val="single" w:color="000000" w:sz="6" w:space="0"/>
            </w:tcBorders>
            <w:noWrap w:val="0"/>
            <w:tcMar>
              <w:top w:w="0" w:type="dxa"/>
              <w:left w:w="0" w:type="dxa"/>
              <w:bottom w:w="0" w:type="dxa"/>
              <w:right w:w="0" w:type="dxa"/>
            </w:tcMar>
            <w:vAlign w:val="center"/>
          </w:tcPr>
          <w:p w14:paraId="738489B2">
            <w:pPr>
              <w:snapToGrid w:val="0"/>
              <w:spacing w:line="360" w:lineRule="auto"/>
              <w:ind w:right="113"/>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2.2.3</w:t>
            </w:r>
          </w:p>
        </w:tc>
        <w:tc>
          <w:tcPr>
            <w:tcW w:w="15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F779A7C">
            <w:pPr>
              <w:snapToGrid w:val="0"/>
              <w:spacing w:line="360" w:lineRule="auto"/>
              <w:ind w:left="113" w:right="113"/>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评标价的偏差率计算公式</w:t>
            </w:r>
          </w:p>
        </w:tc>
        <w:tc>
          <w:tcPr>
            <w:tcW w:w="6901" w:type="dxa"/>
            <w:tcBorders>
              <w:top w:val="single" w:color="000000" w:sz="6" w:space="0"/>
              <w:left w:val="single" w:color="000000" w:sz="6" w:space="0"/>
              <w:bottom w:val="single" w:color="000000" w:sz="6" w:space="0"/>
              <w:right w:val="single" w:color="000000" w:sz="12" w:space="0"/>
            </w:tcBorders>
            <w:noWrap w:val="0"/>
            <w:tcMar>
              <w:top w:w="0" w:type="dxa"/>
              <w:left w:w="0" w:type="dxa"/>
              <w:bottom w:w="0" w:type="dxa"/>
              <w:right w:w="0" w:type="dxa"/>
            </w:tcMar>
            <w:vAlign w:val="center"/>
          </w:tcPr>
          <w:p w14:paraId="7E75B378">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偏差率=100%×（投标人评标价-评标基准价）/评标基准价</w:t>
            </w:r>
          </w:p>
        </w:tc>
      </w:tr>
      <w:tr w14:paraId="08F3A565">
        <w:tblPrEx>
          <w:tblCellMar>
            <w:top w:w="0" w:type="dxa"/>
            <w:left w:w="0" w:type="dxa"/>
            <w:bottom w:w="0" w:type="dxa"/>
            <w:right w:w="0" w:type="dxa"/>
          </w:tblCellMar>
        </w:tblPrEx>
        <w:trPr>
          <w:trHeight w:val="2226" w:hRule="atLeast"/>
          <w:jc w:val="center"/>
        </w:trPr>
        <w:tc>
          <w:tcPr>
            <w:tcW w:w="990" w:type="dxa"/>
            <w:tcBorders>
              <w:top w:val="single" w:color="000000" w:sz="6" w:space="0"/>
              <w:left w:val="single" w:color="000000" w:sz="12" w:space="0"/>
              <w:bottom w:val="single" w:color="000000" w:sz="6" w:space="0"/>
              <w:right w:val="single" w:color="000000" w:sz="6" w:space="0"/>
            </w:tcBorders>
            <w:noWrap w:val="0"/>
            <w:tcMar>
              <w:top w:w="0" w:type="dxa"/>
              <w:left w:w="0" w:type="dxa"/>
              <w:bottom w:w="0" w:type="dxa"/>
              <w:right w:w="0" w:type="dxa"/>
            </w:tcMar>
            <w:vAlign w:val="center"/>
          </w:tcPr>
          <w:p w14:paraId="66E2DBE1">
            <w:pPr>
              <w:snapToGrid w:val="0"/>
              <w:ind w:right="113"/>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2.2.4</w:t>
            </w:r>
          </w:p>
        </w:tc>
        <w:tc>
          <w:tcPr>
            <w:tcW w:w="15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5A8EEB">
            <w:pPr>
              <w:snapToGrid w:val="0"/>
              <w:ind w:right="113"/>
              <w:jc w:val="center"/>
              <w:outlineLvl w:val="9"/>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rPr>
              <w:t>评标价</w:t>
            </w:r>
          </w:p>
        </w:tc>
        <w:tc>
          <w:tcPr>
            <w:tcW w:w="6901" w:type="dxa"/>
            <w:tcBorders>
              <w:top w:val="single" w:color="000000" w:sz="6" w:space="0"/>
              <w:left w:val="single" w:color="000000" w:sz="6" w:space="0"/>
              <w:bottom w:val="single" w:color="000000" w:sz="6" w:space="0"/>
              <w:right w:val="single" w:color="000000" w:sz="12" w:space="0"/>
            </w:tcBorders>
            <w:noWrap w:val="0"/>
            <w:tcMar>
              <w:top w:w="0" w:type="dxa"/>
              <w:left w:w="0" w:type="dxa"/>
              <w:bottom w:w="0" w:type="dxa"/>
              <w:right w:w="0" w:type="dxa"/>
            </w:tcMar>
            <w:vAlign w:val="center"/>
          </w:tcPr>
          <w:p w14:paraId="43AB1EE0">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100分</w:t>
            </w:r>
          </w:p>
          <w:p w14:paraId="23E3826A">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评标价得分计算公式示例：</w:t>
            </w:r>
          </w:p>
          <w:p w14:paraId="04676F11">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（1）如果投标人的评标价＞评标基准价，则评标价得分=100-偏差率×100×2；</w:t>
            </w:r>
          </w:p>
          <w:p w14:paraId="6FE556F6">
            <w:pPr>
              <w:snapToGrid w:val="0"/>
              <w:spacing w:line="360" w:lineRule="exact"/>
              <w:jc w:val="left"/>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（2）如果投标人的评标价≤评标基准价，则评标价得分=100+偏差率×100×1；</w:t>
            </w:r>
          </w:p>
        </w:tc>
      </w:tr>
      <w:tr w14:paraId="79A0C1E1">
        <w:tblPrEx>
          <w:tblCellMar>
            <w:top w:w="0" w:type="dxa"/>
            <w:left w:w="0" w:type="dxa"/>
            <w:bottom w:w="0" w:type="dxa"/>
            <w:right w:w="0" w:type="dxa"/>
          </w:tblCellMar>
        </w:tblPrEx>
        <w:trPr>
          <w:trHeight w:val="641" w:hRule="atLeast"/>
          <w:jc w:val="center"/>
        </w:trPr>
        <w:tc>
          <w:tcPr>
            <w:tcW w:w="9439" w:type="dxa"/>
            <w:gridSpan w:val="3"/>
            <w:tcBorders>
              <w:top w:val="single" w:color="000000" w:sz="6" w:space="0"/>
              <w:left w:val="single" w:color="000000" w:sz="12" w:space="0"/>
              <w:bottom w:val="single" w:color="000000" w:sz="12" w:space="0"/>
              <w:right w:val="single" w:color="000000" w:sz="12" w:space="0"/>
            </w:tcBorders>
            <w:noWrap w:val="0"/>
            <w:tcMar>
              <w:top w:w="0" w:type="dxa"/>
              <w:left w:w="0" w:type="dxa"/>
              <w:bottom w:w="0" w:type="dxa"/>
              <w:right w:w="0" w:type="dxa"/>
            </w:tcMar>
            <w:vAlign w:val="center"/>
          </w:tcPr>
          <w:p w14:paraId="5CF9BD29">
            <w:pPr>
              <w:snapToGrid w:val="0"/>
              <w:ind w:right="113"/>
              <w:outlineLvl w:val="9"/>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本次招标以投标人最终报价作为预期中标价。</w:t>
            </w:r>
          </w:p>
        </w:tc>
      </w:tr>
    </w:tbl>
    <w:p w14:paraId="7F6B8970">
      <w:pPr>
        <w:jc w:val="both"/>
        <w:rPr>
          <w:rFonts w:hint="default"/>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95E19"/>
    <w:rsid w:val="0C460D11"/>
    <w:rsid w:val="4FE27A6C"/>
    <w:rsid w:val="64AF7CA6"/>
    <w:rsid w:val="68495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customStyle="1" w:styleId="5">
    <w:name w:val="Table Paragraph"/>
    <w:basedOn w:val="1"/>
    <w:uiPriority w:val="0"/>
    <w:pPr>
      <w:jc w:val="left"/>
    </w:pPr>
    <w:rPr>
      <w:rFonts w:ascii="Calibri" w:hAnsi="Calibri" w:eastAsia="Times New Roman" w:cs="Times New Roman"/>
      <w:kern w:val="0"/>
      <w:sz w:val="22"/>
      <w:szCs w:val="22"/>
      <w:lang w:eastAsia="en-US"/>
    </w:rPr>
  </w:style>
  <w:style w:type="paragraph" w:customStyle="1" w:styleId="6">
    <w:name w:val="BodyText1I2"/>
    <w:basedOn w:val="7"/>
    <w:next w:val="8"/>
    <w:qFormat/>
    <w:uiPriority w:val="0"/>
    <w:pPr>
      <w:ind w:firstLine="420"/>
    </w:pPr>
  </w:style>
  <w:style w:type="paragraph" w:customStyle="1" w:styleId="7">
    <w:name w:val="BodyTextIndent"/>
    <w:basedOn w:val="1"/>
    <w:next w:val="1"/>
    <w:qFormat/>
    <w:uiPriority w:val="0"/>
    <w:pPr>
      <w:ind w:firstLine="560" w:firstLineChars="200"/>
      <w:textAlignment w:val="baseline"/>
    </w:pPr>
    <w:rPr>
      <w:rFonts w:ascii="宋体" w:hAnsi="宋体"/>
      <w:sz w:val="28"/>
      <w:szCs w:val="28"/>
    </w:rPr>
  </w:style>
  <w:style w:type="paragraph" w:customStyle="1" w:styleId="8">
    <w:name w:val="UserStyle_0"/>
    <w:basedOn w:val="9"/>
    <w:qFormat/>
    <w:uiPriority w:val="0"/>
    <w:pPr>
      <w:spacing w:before="0" w:after="0" w:line="400" w:lineRule="exact"/>
    </w:pPr>
    <w:rPr>
      <w:sz w:val="24"/>
      <w:szCs w:val="24"/>
    </w:rPr>
  </w:style>
  <w:style w:type="paragraph" w:customStyle="1" w:styleId="9">
    <w:name w:val="UserStyle_1"/>
    <w:basedOn w:val="10"/>
    <w:next w:val="10"/>
    <w:qFormat/>
    <w:uiPriority w:val="0"/>
    <w:pPr>
      <w:keepNext/>
      <w:keepLines/>
      <w:spacing w:before="260" w:after="260" w:line="416" w:lineRule="auto"/>
    </w:pPr>
    <w:rPr>
      <w:b/>
      <w:bCs/>
      <w:sz w:val="32"/>
      <w:szCs w:val="32"/>
    </w:rPr>
  </w:style>
  <w:style w:type="paragraph" w:customStyle="1" w:styleId="10">
    <w:name w:val="UserStyle_2"/>
    <w:next w:val="1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1">
    <w:name w:val="UserStyle_3"/>
    <w:basedOn w:val="12"/>
    <w:next w:val="14"/>
    <w:qFormat/>
    <w:uiPriority w:val="0"/>
    <w:pPr>
      <w:ind w:firstLine="420" w:firstLineChars="200"/>
    </w:pPr>
  </w:style>
  <w:style w:type="paragraph" w:customStyle="1" w:styleId="12">
    <w:name w:val="UserStyle_4"/>
    <w:basedOn w:val="13"/>
    <w:next w:val="13"/>
    <w:qFormat/>
    <w:uiPriority w:val="0"/>
    <w:pPr>
      <w:spacing w:after="120"/>
      <w:ind w:left="420" w:leftChars="200"/>
    </w:pPr>
  </w:style>
  <w:style w:type="paragraph" w:customStyle="1" w:styleId="13">
    <w:name w:val="UserStyle_6"/>
    <w:next w:val="11"/>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14">
    <w:name w:val="UserStyle_5"/>
    <w:basedOn w:val="15"/>
    <w:qFormat/>
    <w:uiPriority w:val="0"/>
    <w:pPr>
      <w:spacing w:before="0" w:after="0" w:line="400" w:lineRule="exact"/>
    </w:pPr>
    <w:rPr>
      <w:rFonts w:ascii="Times New Roman" w:hAnsi="Times New Roman" w:eastAsia="黑体"/>
      <w:b w:val="0"/>
      <w:bCs w:val="0"/>
      <w:sz w:val="21"/>
      <w:szCs w:val="20"/>
    </w:rPr>
  </w:style>
  <w:style w:type="paragraph" w:customStyle="1" w:styleId="15">
    <w:name w:val="UserStyle_7"/>
    <w:basedOn w:val="10"/>
    <w:next w:val="16"/>
    <w:qFormat/>
    <w:uiPriority w:val="0"/>
    <w:pPr>
      <w:keepNext/>
      <w:keepLines/>
      <w:spacing w:before="260" w:after="260" w:line="416" w:lineRule="auto"/>
    </w:pPr>
    <w:rPr>
      <w:b/>
      <w:bCs/>
      <w:sz w:val="32"/>
      <w:szCs w:val="32"/>
    </w:rPr>
  </w:style>
  <w:style w:type="paragraph" w:customStyle="1" w:styleId="16">
    <w:name w:val="UserStyle_8"/>
    <w:next w:val="11"/>
    <w:qFormat/>
    <w:uiPriority w:val="0"/>
    <w:pPr>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4186</Words>
  <Characters>4778</Characters>
  <Lines>0</Lines>
  <Paragraphs>0</Paragraphs>
  <TotalTime>5</TotalTime>
  <ScaleCrop>false</ScaleCrop>
  <LinksUpToDate>false</LinksUpToDate>
  <CharactersWithSpaces>4848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2026-06-01T07:13:00Z</dcterms:created>
  <dc:creator>锌粒</dc:creator>
  <cp:lastModifiedBy>锌粒</cp:lastModifiedBy>
  <dcterms:modified xsi:type="dcterms:W3CDTF">2026-06-01T08:08:02Z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51E57EDD241E4B8D86DC79F4395E09AA_11</vt:lpwstr>
  </property>
  <property fmtid="{D5CDD505-2E9C-101B-9397-08002B2CF9AE}" pid="4" name="KSOTemplateDocerSaveRecord">
    <vt:lpwstr>eyJoZGlkIjoiMjE2YzI0YzhhNzM4ZDM2OTE4Y2FiOWY2MjRhYmYxMDciLCJ1c2VySWQiOiI3NjY1ODQ5MjMifQ==</vt:lpwstr>
  </property>
</Properties>
</file>