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7067F">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outlineLvl w:val="0"/>
        <w:rPr>
          <w:rFonts w:hint="eastAsia"/>
          <w:b/>
          <w:bCs/>
          <w:color w:val="000000" w:themeColor="text1"/>
          <w:spacing w:val="0"/>
          <w:w w:val="100"/>
          <w:sz w:val="36"/>
          <w:szCs w:val="36"/>
          <w:lang w:eastAsia="zh-CN"/>
          <w14:textFill>
            <w14:solidFill>
              <w14:schemeClr w14:val="tx1"/>
            </w14:solidFill>
          </w14:textFill>
        </w:rPr>
      </w:pPr>
      <w:r>
        <w:rPr>
          <w:rFonts w:hint="eastAsia"/>
          <w:b/>
          <w:bCs/>
          <w:color w:val="000000" w:themeColor="text1"/>
          <w:spacing w:val="0"/>
          <w:w w:val="100"/>
          <w:sz w:val="36"/>
          <w:szCs w:val="36"/>
          <w:lang w:eastAsia="zh-CN"/>
          <w14:textFill>
            <w14:solidFill>
              <w14:schemeClr w14:val="tx1"/>
            </w14:solidFill>
          </w14:textFill>
        </w:rPr>
        <w:t>310国道眉县青化至渭滨高家镇公路项目涉铁工</w:t>
      </w:r>
      <w:r>
        <w:rPr>
          <w:rFonts w:hint="eastAsia"/>
          <w:b/>
          <w:bCs/>
          <w:color w:val="000000" w:themeColor="text1"/>
          <w:spacing w:val="0"/>
          <w:w w:val="100"/>
          <w:sz w:val="36"/>
          <w:szCs w:val="36"/>
          <w:lang w:eastAsia="zh-CN"/>
          <w14:textFill>
            <w14:solidFill>
              <w14:schemeClr w14:val="tx1"/>
            </w14:solidFill>
          </w14:textFill>
        </w:rPr>
        <w:t>程</w:t>
      </w:r>
    </w:p>
    <w:p w14:paraId="4071DA9D">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outlineLvl w:val="0"/>
        <w:rPr>
          <w:b/>
          <w:bCs/>
          <w:color w:val="000000" w:themeColor="text1"/>
          <w:spacing w:val="15"/>
          <w:sz w:val="36"/>
          <w:szCs w:val="36"/>
          <w14:textFill>
            <w14:solidFill>
              <w14:schemeClr w14:val="tx1"/>
            </w14:solidFill>
          </w14:textFill>
        </w:rPr>
      </w:pPr>
      <w:r>
        <w:rPr>
          <w:rFonts w:hint="eastAsia"/>
          <w:b/>
          <w:bCs/>
          <w:color w:val="000000" w:themeColor="text1"/>
          <w:spacing w:val="15"/>
          <w:sz w:val="36"/>
          <w:szCs w:val="36"/>
          <w:lang w:eastAsia="zh-CN"/>
          <w14:textFill>
            <w14:solidFill>
              <w14:schemeClr w14:val="tx1"/>
            </w14:solidFill>
          </w14:textFill>
        </w:rPr>
        <w:t>铁路营业线施工安全监理(二次)</w:t>
      </w:r>
      <w:r>
        <w:rPr>
          <w:b/>
          <w:bCs/>
          <w:color w:val="000000" w:themeColor="text1"/>
          <w:spacing w:val="15"/>
          <w:sz w:val="36"/>
          <w:szCs w:val="36"/>
          <w14:textFill>
            <w14:solidFill>
              <w14:schemeClr w14:val="tx1"/>
            </w14:solidFill>
          </w14:textFill>
        </w:rPr>
        <w:t>招标文件</w:t>
      </w:r>
    </w:p>
    <w:p w14:paraId="33B819E9">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outlineLvl w:val="0"/>
        <w:rPr>
          <w:rFonts w:hint="eastAsia" w:ascii="黑体" w:hAnsi="黑体" w:eastAsia="黑体" w:cs="黑体"/>
          <w:b w:val="0"/>
          <w:bCs/>
          <w:color w:val="000000" w:themeColor="text1"/>
          <w:sz w:val="32"/>
          <w:szCs w:val="32"/>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关键内容公示</w:t>
      </w:r>
    </w:p>
    <w:p w14:paraId="6A484C4C">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b w:val="0"/>
          <w:bCs/>
          <w:color w:val="000000" w:themeColor="text1"/>
          <w:sz w:val="32"/>
          <w:szCs w:val="32"/>
          <w14:textFill>
            <w14:solidFill>
              <w14:schemeClr w14:val="tx1"/>
            </w14:solidFill>
          </w14:textFill>
        </w:rPr>
      </w:pPr>
    </w:p>
    <w:p w14:paraId="133FEC85">
      <w:pPr>
        <w:pStyle w:val="4"/>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一、项目概况</w:t>
      </w:r>
    </w:p>
    <w:p w14:paraId="1A71E0CE">
      <w:pPr>
        <w:bidi w:val="0"/>
        <w:rPr>
          <w:rFonts w:hint="eastAsia"/>
          <w:lang w:val="en-US" w:eastAsia="zh-CN"/>
        </w:rPr>
      </w:pPr>
      <w:r>
        <w:rPr>
          <w:rFonts w:hint="eastAsia"/>
          <w:lang w:val="en-US" w:eastAsia="zh-CN"/>
        </w:rPr>
        <w:t>1.建设地点：宝鸡市。</w:t>
      </w:r>
    </w:p>
    <w:p w14:paraId="703405B5">
      <w:pPr>
        <w:bidi w:val="0"/>
        <w:rPr>
          <w:rFonts w:hint="eastAsia"/>
          <w:lang w:val="en-US" w:eastAsia="zh-CN"/>
        </w:rPr>
      </w:pPr>
      <w:r>
        <w:rPr>
          <w:rFonts w:hint="eastAsia"/>
          <w:lang w:val="en-US" w:eastAsia="zh-CN"/>
        </w:rPr>
        <w:t>2.工程规模：</w:t>
      </w:r>
    </w:p>
    <w:p w14:paraId="249D639C">
      <w:pPr>
        <w:bidi w:val="0"/>
        <w:rPr>
          <w:rFonts w:hint="eastAsia"/>
          <w:lang w:val="en-US" w:eastAsia="zh-CN"/>
        </w:rPr>
      </w:pPr>
      <w:r>
        <w:rPr>
          <w:rFonts w:hint="eastAsia"/>
          <w:lang w:val="en-US" w:eastAsia="zh-CN"/>
        </w:rPr>
        <w:t>路堑上跨徐兰高铁石鼓山隧道(K1244+499)工程：</w:t>
      </w:r>
    </w:p>
    <w:p w14:paraId="671B2BB4">
      <w:pPr>
        <w:bidi w:val="0"/>
        <w:rPr>
          <w:rFonts w:hint="eastAsia"/>
          <w:lang w:val="en-US" w:eastAsia="zh-CN"/>
        </w:rPr>
      </w:pPr>
      <w:r>
        <w:rPr>
          <w:rFonts w:hint="eastAsia"/>
          <w:lang w:val="en-US" w:eastAsia="zh-CN"/>
        </w:rPr>
        <w:t>拟建路堑与既有徐兰高铁石鼓山隧道相交，交点处徐兰高铁下行线里程K1244+498.86，位于宝鸡南站(小里程侧)与东岔站(大里程侧)区间，交点处公路里程K84+217.76，拟建路堑与徐兰高铁交角为50.4°。石鼓山隧道起讫里程K1242+666.38~K1246+996.38，隧道长4330m，为双线隧道。</w:t>
      </w:r>
    </w:p>
    <w:p w14:paraId="18F5763C">
      <w:pPr>
        <w:bidi w:val="0"/>
        <w:rPr>
          <w:rFonts w:hint="eastAsia"/>
          <w:lang w:val="en-US" w:eastAsia="zh-CN"/>
        </w:rPr>
      </w:pPr>
      <w:r>
        <w:rPr>
          <w:rFonts w:hint="eastAsia"/>
          <w:lang w:val="en-US" w:eastAsia="zh-CN"/>
        </w:rPr>
        <w:t>神农特大桥上跨宝成铁路工程：</w:t>
      </w:r>
    </w:p>
    <w:p w14:paraId="196C0C2A">
      <w:pPr>
        <w:bidi w:val="0"/>
        <w:rPr>
          <w:rFonts w:hint="eastAsia"/>
          <w:lang w:val="en-US" w:eastAsia="zh-CN"/>
        </w:rPr>
      </w:pPr>
      <w:r>
        <w:rPr>
          <w:rFonts w:hint="eastAsia"/>
          <w:lang w:val="en-US" w:eastAsia="zh-CN"/>
        </w:rPr>
        <w:t>①立交桥的主体结构、相关附属工程及铁路相关设备迁改：本桥位于半径为580m的圆曲线上，顶板设置5%的单向坡。主桥整幅设计，桥梁全长190m，孔跨布置为(95+95)m，梁逢宽度为12cm，采用预应力混凝土T构，平面转体法施工。转体结构长90+90m，转体重量约27000吨，两侧边跨合拢段长4.88m。</w:t>
      </w:r>
    </w:p>
    <w:p w14:paraId="73704DBA">
      <w:pPr>
        <w:bidi w:val="0"/>
        <w:rPr>
          <w:rFonts w:hint="eastAsia"/>
          <w:lang w:val="en-US" w:eastAsia="zh-CN"/>
        </w:rPr>
      </w:pPr>
      <w:r>
        <w:rPr>
          <w:rFonts w:hint="eastAsia"/>
          <w:lang w:val="en-US" w:eastAsia="zh-CN"/>
        </w:rPr>
        <w:t>②立交桥相邻孔1-25m简支小箱梁的主体结构、11号桥墩、相关附属工程：本桥位于半径为580m的圆曲线上，桥梁长25m。</w:t>
      </w:r>
    </w:p>
    <w:p w14:paraId="2EB745EA">
      <w:pPr>
        <w:bidi w:val="0"/>
        <w:rPr>
          <w:rFonts w:hint="eastAsia"/>
          <w:lang w:val="en-US" w:eastAsia="zh-CN"/>
        </w:rPr>
      </w:pPr>
      <w:r>
        <w:rPr>
          <w:rFonts w:hint="eastAsia"/>
          <w:lang w:val="en-US" w:eastAsia="zh-CN"/>
        </w:rPr>
        <w:t>3.招标范围：两处涉铁工程铁路营业线施工安全监理。</w:t>
      </w:r>
    </w:p>
    <w:p w14:paraId="62BDD0C4">
      <w:pPr>
        <w:bidi w:val="0"/>
        <w:rPr>
          <w:rFonts w:hint="eastAsia"/>
          <w:lang w:val="en-US" w:eastAsia="zh-CN"/>
        </w:rPr>
      </w:pPr>
      <w:r>
        <w:rPr>
          <w:rFonts w:hint="eastAsia"/>
          <w:lang w:val="en-US" w:eastAsia="zh-CN"/>
        </w:rPr>
        <w:t>①路堑上跨徐兰高铁石鼓山隧道(K1244+499)工程（不含路面）：设计起止里程共两段：K84+023.5~K84+117、K84+153~K84+400。</w:t>
      </w:r>
    </w:p>
    <w:p w14:paraId="3C978ABA">
      <w:pPr>
        <w:bidi w:val="0"/>
        <w:rPr>
          <w:rFonts w:hint="eastAsia"/>
          <w:lang w:val="en-US" w:eastAsia="zh-CN"/>
        </w:rPr>
      </w:pPr>
      <w:r>
        <w:rPr>
          <w:rFonts w:hint="eastAsia"/>
          <w:lang w:val="en-US" w:eastAsia="zh-CN"/>
        </w:rPr>
        <w:t>②神农特大桥上跨宝成铁路工程（不含路面、标线）：设计起止里程共两段：K91+208~K91+398(梁缝中心)，桥梁长190m；K91+398~K91+423(梁缝中心)，桥梁长25m。</w:t>
      </w:r>
    </w:p>
    <w:p w14:paraId="27351903">
      <w:pPr>
        <w:bidi w:val="0"/>
        <w:rPr>
          <w:rFonts w:hint="eastAsia"/>
          <w:lang w:val="en-US" w:eastAsia="zh-CN"/>
        </w:rPr>
      </w:pPr>
      <w:r>
        <w:rPr>
          <w:rFonts w:hint="eastAsia"/>
          <w:lang w:val="en-US" w:eastAsia="zh-CN"/>
        </w:rPr>
        <w:t>4.主要工程内容</w:t>
      </w:r>
    </w:p>
    <w:p w14:paraId="590C087D">
      <w:pPr>
        <w:bidi w:val="0"/>
        <w:rPr>
          <w:rFonts w:hint="eastAsia"/>
          <w:lang w:val="en-US" w:eastAsia="zh-CN"/>
        </w:rPr>
      </w:pPr>
      <w:r>
        <w:rPr>
          <w:rFonts w:hint="eastAsia"/>
          <w:lang w:val="en-US" w:eastAsia="zh-CN"/>
        </w:rPr>
        <w:t>（1）监理人应遵循《中华人民共和国铁路法》、《铁路建设工程监理规范》（TB 10402-2019）、《铁路安全管理条例》（国务院令第639号）、《建设工程监理规范》（GB/T50319-2013）、《国家铁路局关于印发&lt;铁路营业线施工安全管理办法&gt;的通知》（国铁运输监〔2021〕31号）、《铁路建设项目监理工作管理办法》（铁总建设〔2015〕263号）、《国铁集团关于加强涉铁工程管理的指导意见》（铁工电〔2021〕85号）、《关于进一步规范涉铁工程管理的通知》（铁经开〔2022〕129号）、《中国铁路西安局集团有限公司关于印发&lt;西安局集团公司涉铁工程建设管理办法&gt;的通知》（西铁科信〔2024〕178号）等法律法规及相关规定要求，开展涉铁工程铁路营业线的施工安全监理工作。</w:t>
      </w:r>
    </w:p>
    <w:p w14:paraId="3BD73E1D">
      <w:pPr>
        <w:bidi w:val="0"/>
        <w:rPr>
          <w:rFonts w:hint="eastAsia"/>
          <w:lang w:val="en-US" w:eastAsia="zh-CN"/>
        </w:rPr>
      </w:pPr>
      <w:r>
        <w:rPr>
          <w:rFonts w:hint="eastAsia"/>
          <w:lang w:val="en-US" w:eastAsia="zh-CN"/>
        </w:rPr>
        <w:t>（2）成立项目现场监理部，负涉铁工程安全监理总责。制定项目安全生产管理监理工作目标、制度，编制相应安全生产管理监理规划及监理安全穿透式管理实施细则。</w:t>
      </w:r>
    </w:p>
    <w:p w14:paraId="603C079F">
      <w:pPr>
        <w:bidi w:val="0"/>
        <w:rPr>
          <w:rFonts w:hint="eastAsia"/>
          <w:lang w:val="en-US" w:eastAsia="zh-CN"/>
        </w:rPr>
      </w:pPr>
      <w:r>
        <w:rPr>
          <w:rFonts w:hint="eastAsia"/>
          <w:lang w:val="en-US" w:eastAsia="zh-CN"/>
        </w:rPr>
        <w:t>（3）审查施工单位现场安全生产管理制度和安全生产管理体系的建立和实施情况，审查施工单位的项目机构与主要人员配备特别是专职安全生产管理人员的专业、数量应满足需要，审查施工专业分包单位资质、安全生产许可证，现场审查特种作业人员和特种设备操作人员资格及安全防护用具、机械设备、施工机具等，检查施工人员的安全培训计划及落实情况。</w:t>
      </w:r>
    </w:p>
    <w:p w14:paraId="1A56A1F4">
      <w:pPr>
        <w:bidi w:val="0"/>
        <w:rPr>
          <w:rFonts w:hint="eastAsia"/>
          <w:lang w:val="en-US" w:eastAsia="zh-CN"/>
        </w:rPr>
      </w:pPr>
      <w:r>
        <w:rPr>
          <w:rFonts w:hint="eastAsia"/>
          <w:lang w:val="en-US" w:eastAsia="zh-CN"/>
        </w:rPr>
        <w:t>（4）审核铁路营业线及邻近营业线施工组织设计中有关安全生产的内容、专项施工方案，并由总监理工程师签署审核意见；审核施工单位安全保障措施、危险源识别及应急预案、预防措施、安全防护措施费用使用计划。</w:t>
      </w:r>
    </w:p>
    <w:p w14:paraId="777787D7">
      <w:pPr>
        <w:bidi w:val="0"/>
        <w:rPr>
          <w:rFonts w:hint="eastAsia"/>
          <w:lang w:val="en-US" w:eastAsia="zh-CN"/>
        </w:rPr>
      </w:pPr>
      <w:r>
        <w:rPr>
          <w:rFonts w:hint="eastAsia"/>
          <w:lang w:val="en-US" w:eastAsia="zh-CN"/>
        </w:rPr>
        <w:t>（5）审核铁路营业线及邻近营业线施工计划，核对现场施工范围、施工内容等是否与施工计划一致；审查施工单位是否与运输设备管理部门和行车组织单位签订营业线施工安全协议，并检查施工单位现场防护措施。</w:t>
      </w:r>
    </w:p>
    <w:p w14:paraId="0922ADA9">
      <w:pPr>
        <w:bidi w:val="0"/>
        <w:rPr>
          <w:rFonts w:hint="eastAsia"/>
          <w:lang w:val="en-US" w:eastAsia="zh-CN"/>
        </w:rPr>
      </w:pPr>
      <w:r>
        <w:rPr>
          <w:rFonts w:hint="eastAsia"/>
          <w:lang w:val="en-US" w:eastAsia="zh-CN"/>
        </w:rPr>
        <w:t>（6）参加铁路营业线及邻近营业线设计交底和重大方案的安全交底，参加图纸会审及超过一定规模的危大工程专项方案专家论证会，检查现场人员安全技术交底及实施情况。</w:t>
      </w:r>
    </w:p>
    <w:p w14:paraId="7198A00A">
      <w:pPr>
        <w:bidi w:val="0"/>
        <w:rPr>
          <w:rFonts w:hint="eastAsia"/>
          <w:lang w:val="en-US" w:eastAsia="zh-CN"/>
        </w:rPr>
      </w:pPr>
      <w:r>
        <w:rPr>
          <w:rFonts w:hint="eastAsia"/>
          <w:lang w:val="en-US" w:eastAsia="zh-CN"/>
        </w:rPr>
        <w:t>（7）参加铁路营业线及邻近营业线施工预备会、协调会和总结会，组织召开大机“三会”，严格执行营业线施工“三个不得”、“六个不准”及“一机一人制度”等相关规定。</w:t>
      </w:r>
    </w:p>
    <w:p w14:paraId="76C625C6">
      <w:pPr>
        <w:bidi w:val="0"/>
        <w:rPr>
          <w:rFonts w:hint="eastAsia"/>
          <w:lang w:val="en-US" w:eastAsia="zh-CN"/>
        </w:rPr>
      </w:pPr>
      <w:r>
        <w:rPr>
          <w:rFonts w:hint="eastAsia"/>
          <w:lang w:val="en-US" w:eastAsia="zh-CN"/>
        </w:rPr>
        <w:t>（8）进行施工现场的日常安全巡视检查，按规定实施安全监理旁站；定期组织施工单位进行安全检查及专项安全检查。</w:t>
      </w:r>
    </w:p>
    <w:p w14:paraId="142A143E">
      <w:pPr>
        <w:bidi w:val="0"/>
        <w:rPr>
          <w:rFonts w:hint="eastAsia"/>
          <w:lang w:val="en-US" w:eastAsia="zh-CN"/>
        </w:rPr>
      </w:pPr>
      <w:r>
        <w:rPr>
          <w:rFonts w:hint="eastAsia"/>
          <w:lang w:val="en-US" w:eastAsia="zh-CN"/>
        </w:rPr>
        <w:t>（9）检查铁路营业线及邻近营业线施工过程中的各种安全生产标识、标牌、人员持证到岗、施工人员行为以及安全防护措施、现场安全状况等情况是否符合强制性标准要求和落实情况。</w:t>
      </w:r>
    </w:p>
    <w:p w14:paraId="60B256B0">
      <w:pPr>
        <w:bidi w:val="0"/>
        <w:rPr>
          <w:rFonts w:hint="eastAsia"/>
          <w:lang w:val="en-US" w:eastAsia="zh-CN"/>
        </w:rPr>
      </w:pPr>
      <w:r>
        <w:rPr>
          <w:rFonts w:hint="eastAsia"/>
          <w:lang w:val="en-US" w:eastAsia="zh-CN"/>
        </w:rPr>
        <w:t>（10）按照铁路主管部门相关要求，完成铁路营业线及邻近营业线项目安全监理资料的收集整理、立卷归档工作，配合建设单位完成涉铁项目交、竣工验收等相关工作。</w:t>
      </w:r>
    </w:p>
    <w:p w14:paraId="0AABA3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二、投标人资格要求</w:t>
      </w:r>
    </w:p>
    <w:p w14:paraId="7F4FADC5">
      <w:pPr>
        <w:bidi w:val="0"/>
        <w:rPr>
          <w:rFonts w:hint="eastAsia"/>
          <w:lang w:val="en-US" w:eastAsia="zh-CN"/>
        </w:rPr>
      </w:pPr>
      <w:r>
        <w:rPr>
          <w:rFonts w:hint="eastAsia"/>
          <w:lang w:val="en-US" w:eastAsia="zh-CN"/>
        </w:rPr>
        <w:t>310国道眉县青化至渭滨高家镇公路项目涉铁工程铁路营业线施工安全监理(二次)：本次招标要求投标人须具备 具有独立法人资格；具备住房和城乡建设部颁发的工程监理综合资质或住房和城乡建设部颁发的铁路工程监理甲级资质、2021年1月至投标截止时间：至少具有一项独立完成过1座及以上采用转体施工工艺的上跨铁路营业线桥梁监理业绩（附合同协议书），并在人员等方面具备相应的施工安全监理能力。</w:t>
      </w:r>
    </w:p>
    <w:p w14:paraId="47748C89">
      <w:pPr>
        <w:bidi w:val="0"/>
        <w:ind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（1）资质最低要求</w:t>
      </w:r>
    </w:p>
    <w:tbl>
      <w:tblPr>
        <w:tblStyle w:val="6"/>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2530"/>
        <w:gridCol w:w="6156"/>
      </w:tblGrid>
      <w:tr w14:paraId="1FC05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62" w:hRule="atLeast"/>
          <w:tblHeader/>
          <w:jc w:val="center"/>
        </w:trPr>
        <w:tc>
          <w:tcPr>
            <w:tcW w:w="2530" w:type="dxa"/>
            <w:noWrap w:val="0"/>
            <w:vAlign w:val="center"/>
          </w:tcPr>
          <w:p w14:paraId="364B87FA">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标段</w:t>
            </w:r>
          </w:p>
        </w:tc>
        <w:tc>
          <w:tcPr>
            <w:tcW w:w="6156" w:type="dxa"/>
            <w:noWrap w:val="0"/>
            <w:tcMar>
              <w:top w:w="0" w:type="dxa"/>
              <w:left w:w="108" w:type="dxa"/>
              <w:bottom w:w="0" w:type="dxa"/>
              <w:right w:w="108" w:type="dxa"/>
            </w:tcMar>
            <w:vAlign w:val="center"/>
          </w:tcPr>
          <w:p w14:paraId="1BB2C732">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资质要求</w:t>
            </w:r>
          </w:p>
        </w:tc>
      </w:tr>
      <w:tr w14:paraId="1D6A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839" w:hRule="atLeast"/>
          <w:jc w:val="center"/>
        </w:trPr>
        <w:tc>
          <w:tcPr>
            <w:tcW w:w="2530" w:type="dxa"/>
            <w:noWrap w:val="0"/>
            <w:vAlign w:val="center"/>
          </w:tcPr>
          <w:p w14:paraId="5A0E5D5F">
            <w:pPr>
              <w:bidi w:val="0"/>
              <w:rPr>
                <w:rFonts w:hint="eastAsia"/>
                <w:color w:val="000000" w:themeColor="text1"/>
                <w:lang w:eastAsia="zh-CN"/>
                <w14:textFill>
                  <w14:solidFill>
                    <w14:schemeClr w14:val="tx1"/>
                  </w14:solidFill>
                </w14:textFill>
              </w:rPr>
            </w:pPr>
            <w:r>
              <w:rPr>
                <w:rFonts w:hint="eastAsia"/>
                <w:color w:val="000000" w:themeColor="text1"/>
                <w:lang w:val="en-US" w:eastAsia="zh-CN"/>
                <w14:textFill>
                  <w14:solidFill>
                    <w14:schemeClr w14:val="tx1"/>
                  </w14:solidFill>
                </w14:textFill>
              </w:rPr>
              <w:t>310国道眉县青化至渭滨高家镇公路项目涉铁工程铁路营业线施工安全监理(二次)</w:t>
            </w:r>
          </w:p>
        </w:tc>
        <w:tc>
          <w:tcPr>
            <w:tcW w:w="6156" w:type="dxa"/>
            <w:noWrap w:val="0"/>
            <w:tcMar>
              <w:top w:w="0" w:type="dxa"/>
              <w:left w:w="108" w:type="dxa"/>
              <w:bottom w:w="0" w:type="dxa"/>
              <w:right w:w="108" w:type="dxa"/>
            </w:tcMar>
            <w:vAlign w:val="center"/>
          </w:tcPr>
          <w:p w14:paraId="7E28DF8C">
            <w:pPr>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具有独立法人资格；</w:t>
            </w:r>
            <w:r>
              <w:rPr>
                <w:rFonts w:hint="eastAsia"/>
                <w:color w:val="000000" w:themeColor="text1"/>
                <w:lang w:eastAsia="zh-CN"/>
                <w14:textFill>
                  <w14:solidFill>
                    <w14:schemeClr w14:val="tx1"/>
                  </w14:solidFill>
                </w14:textFill>
              </w:rPr>
              <w:t>具备住房和城乡建设部颁发的工程监理综合资质或住房和城乡建设部颁发的铁路工程监理甲级资质</w:t>
            </w:r>
            <w:r>
              <w:rPr>
                <w:rFonts w:hint="eastAsia"/>
                <w:color w:val="000000" w:themeColor="text1"/>
                <w14:textFill>
                  <w14:solidFill>
                    <w14:schemeClr w14:val="tx1"/>
                  </w14:solidFill>
                </w14:textFill>
              </w:rPr>
              <w:t>。</w:t>
            </w:r>
          </w:p>
        </w:tc>
      </w:tr>
    </w:tbl>
    <w:p w14:paraId="156BEFE0">
      <w:pPr>
        <w:bidi w:val="0"/>
        <w:ind w:firstLine="640" w:firstLineChars="200"/>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t>（2）业绩最低要求</w:t>
      </w:r>
    </w:p>
    <w:tbl>
      <w:tblPr>
        <w:tblStyle w:val="6"/>
        <w:tblW w:w="8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8"/>
        <w:gridCol w:w="6203"/>
      </w:tblGrid>
      <w:tr w14:paraId="249BB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blHeader/>
          <w:jc w:val="center"/>
        </w:trPr>
        <w:tc>
          <w:tcPr>
            <w:tcW w:w="2528" w:type="dxa"/>
            <w:noWrap w:val="0"/>
            <w:vAlign w:val="center"/>
          </w:tcPr>
          <w:p w14:paraId="7DCF0C06">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标段</w:t>
            </w:r>
          </w:p>
        </w:tc>
        <w:tc>
          <w:tcPr>
            <w:tcW w:w="6203" w:type="dxa"/>
            <w:noWrap w:val="0"/>
            <w:vAlign w:val="center"/>
          </w:tcPr>
          <w:p w14:paraId="62C223D6">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业绩要求</w:t>
            </w:r>
          </w:p>
        </w:tc>
      </w:tr>
      <w:tr w14:paraId="15EB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8" w:hRule="atLeast"/>
          <w:jc w:val="center"/>
        </w:trPr>
        <w:tc>
          <w:tcPr>
            <w:tcW w:w="2528" w:type="dxa"/>
            <w:noWrap w:val="0"/>
            <w:vAlign w:val="center"/>
          </w:tcPr>
          <w:p w14:paraId="3D076C69">
            <w:pPr>
              <w:bidi w:val="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310国道眉县青化至渭滨高家镇公路项目涉铁工程铁路营业线施工安全监理(二次)</w:t>
            </w:r>
          </w:p>
        </w:tc>
        <w:tc>
          <w:tcPr>
            <w:tcW w:w="6203" w:type="dxa"/>
            <w:noWrap w:val="0"/>
            <w:vAlign w:val="center"/>
          </w:tcPr>
          <w:p w14:paraId="7CCB4117">
            <w:pPr>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2021年1月至投标截止时间：至少具有一项独立完成过1座及以上采用转体施工工艺的上跨铁路营业线桥梁监理业绩（附合同协议书）。</w:t>
            </w:r>
          </w:p>
        </w:tc>
      </w:tr>
    </w:tbl>
    <w:p w14:paraId="22D565B3">
      <w:pPr>
        <w:bidi w:val="0"/>
        <w:ind w:firstLine="640" w:firstLineChars="200"/>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t>（</w:t>
      </w:r>
      <w:r>
        <w:rPr>
          <w:rStyle w:val="8"/>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t>）信誉最低要求</w:t>
      </w:r>
    </w:p>
    <w:tbl>
      <w:tblPr>
        <w:tblStyle w:val="6"/>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3"/>
        <w:gridCol w:w="6153"/>
      </w:tblGrid>
      <w:tr w14:paraId="59981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blHeader/>
          <w:jc w:val="center"/>
        </w:trPr>
        <w:tc>
          <w:tcPr>
            <w:tcW w:w="2503" w:type="dxa"/>
            <w:noWrap w:val="0"/>
            <w:vAlign w:val="center"/>
          </w:tcPr>
          <w:p w14:paraId="12CF2582">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标段</w:t>
            </w:r>
          </w:p>
        </w:tc>
        <w:tc>
          <w:tcPr>
            <w:tcW w:w="6153" w:type="dxa"/>
            <w:noWrap w:val="0"/>
            <w:vAlign w:val="center"/>
          </w:tcPr>
          <w:p w14:paraId="7FF0C3F3">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信誉要求</w:t>
            </w:r>
          </w:p>
        </w:tc>
      </w:tr>
      <w:tr w14:paraId="74546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503" w:type="dxa"/>
            <w:noWrap w:val="0"/>
            <w:vAlign w:val="center"/>
          </w:tcPr>
          <w:p w14:paraId="04541E64">
            <w:pPr>
              <w:bidi w:val="0"/>
              <w:rPr>
                <w:rFonts w:hint="eastAsia"/>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310国道眉县青化至渭滨高家镇公路项目涉铁工程铁路营业线施工安全监理(二次)</w:t>
            </w:r>
          </w:p>
        </w:tc>
        <w:tc>
          <w:tcPr>
            <w:tcW w:w="6153" w:type="dxa"/>
            <w:noWrap w:val="0"/>
            <w:vAlign w:val="center"/>
          </w:tcPr>
          <w:p w14:paraId="2C0B6037">
            <w:pPr>
              <w:bidi w:val="0"/>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1.自2</w:t>
            </w:r>
            <w:r>
              <w:rPr>
                <w:rFonts w:hint="eastAsia"/>
                <w:color w:val="000000" w:themeColor="text1"/>
                <w:lang w:val="en-US" w:eastAsia="zh-CN"/>
                <w14:textFill>
                  <w14:solidFill>
                    <w14:schemeClr w14:val="tx1"/>
                  </w14:solidFill>
                </w14:textFill>
              </w:rPr>
              <w:t>021</w:t>
            </w:r>
            <w:r>
              <w:rPr>
                <w:rFonts w:hint="eastAsia"/>
                <w:color w:val="000000" w:themeColor="text1"/>
                <w14:textFill>
                  <w14:solidFill>
                    <w14:schemeClr w14:val="tx1"/>
                  </w14:solidFill>
                </w14:textFill>
              </w:rPr>
              <w:t>年1月起至今投标人、法定代表人、拟投入的项目总监理工程师均无行贿犯罪行为（以“中国裁判文书网”查询结果为准，查询时间在公告发布之日起之后）；</w:t>
            </w:r>
          </w:p>
          <w:p w14:paraId="15E26041">
            <w:pPr>
              <w:bidi w:val="0"/>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2.投标人未被列入严重违法失信企业名单（以“国家企业信用信息公示系统”查询结果为准）；</w:t>
            </w:r>
          </w:p>
          <w:p w14:paraId="3375F32C">
            <w:pPr>
              <w:bidi w:val="0"/>
              <w:ind w:firstLine="56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3.投标人未被列入失信被执行人名单（以“中国执行信息公开网”网站查询结果为准）；投标人未被列入重大税收违法失信主体当事人的单位（以“信用中国”网站查询结果为准）</w:t>
            </w:r>
            <w:r>
              <w:rPr>
                <w:rFonts w:hint="eastAsia"/>
                <w:color w:val="000000" w:themeColor="text1"/>
                <w:lang w:eastAsia="zh-CN"/>
                <w14:textFill>
                  <w14:solidFill>
                    <w14:schemeClr w14:val="tx1"/>
                  </w14:solidFill>
                </w14:textFill>
              </w:rPr>
              <w:t>。</w:t>
            </w:r>
          </w:p>
        </w:tc>
      </w:tr>
    </w:tbl>
    <w:p w14:paraId="185A301D">
      <w:pPr>
        <w:bidi w:val="0"/>
        <w:ind w:firstLine="640" w:firstLineChars="200"/>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pPr>
      <w:r>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t>（</w:t>
      </w:r>
      <w:r>
        <w:rPr>
          <w:rStyle w:val="8"/>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t>）</w:t>
      </w:r>
      <w:r>
        <w:rPr>
          <w:rStyle w:val="8"/>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总监理工程师</w:t>
      </w:r>
      <w:r>
        <w:rPr>
          <w:rStyle w:val="8"/>
          <w:rFonts w:hint="eastAsia" w:ascii="仿宋_GB2312" w:hAnsi="仿宋_GB2312" w:eastAsia="仿宋_GB2312" w:cs="仿宋_GB2312"/>
          <w:color w:val="000000" w:themeColor="text1"/>
          <w:sz w:val="32"/>
          <w:szCs w:val="32"/>
          <w:highlight w:val="none"/>
          <w14:textFill>
            <w14:solidFill>
              <w14:schemeClr w14:val="tx1"/>
            </w14:solidFill>
          </w14:textFill>
        </w:rPr>
        <w:t>最低要求</w:t>
      </w:r>
    </w:p>
    <w:tbl>
      <w:tblPr>
        <w:tblStyle w:val="6"/>
        <w:tblpPr w:leftFromText="180" w:rightFromText="180" w:vertAnchor="text" w:horzAnchor="page" w:tblpXSpec="center" w:tblpY="23"/>
        <w:tblOverlap w:val="never"/>
        <w:tblW w:w="8620" w:type="dxa"/>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991"/>
        <w:gridCol w:w="925"/>
        <w:gridCol w:w="3800"/>
        <w:gridCol w:w="1810"/>
      </w:tblGrid>
      <w:tr w14:paraId="67DA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1094" w:type="dxa"/>
            <w:noWrap w:val="0"/>
            <w:vAlign w:val="center"/>
          </w:tcPr>
          <w:p w14:paraId="7121DD69">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标段</w:t>
            </w:r>
          </w:p>
        </w:tc>
        <w:tc>
          <w:tcPr>
            <w:tcW w:w="991" w:type="dxa"/>
            <w:noWrap w:val="0"/>
            <w:vAlign w:val="center"/>
          </w:tcPr>
          <w:p w14:paraId="5BE499FC">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人员</w:t>
            </w:r>
          </w:p>
        </w:tc>
        <w:tc>
          <w:tcPr>
            <w:tcW w:w="925" w:type="dxa"/>
            <w:noWrap w:val="0"/>
            <w:vAlign w:val="center"/>
          </w:tcPr>
          <w:p w14:paraId="28E6E67E">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数量</w:t>
            </w:r>
          </w:p>
        </w:tc>
        <w:tc>
          <w:tcPr>
            <w:tcW w:w="3800" w:type="dxa"/>
            <w:noWrap w:val="0"/>
            <w:vAlign w:val="center"/>
          </w:tcPr>
          <w:p w14:paraId="74D8023F">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资格要求</w:t>
            </w:r>
          </w:p>
        </w:tc>
        <w:tc>
          <w:tcPr>
            <w:tcW w:w="1810" w:type="dxa"/>
            <w:noWrap w:val="0"/>
            <w:vAlign w:val="center"/>
          </w:tcPr>
          <w:p w14:paraId="2B2CC168">
            <w:pPr>
              <w:keepNext w:val="0"/>
              <w:keepLines w:val="0"/>
              <w:pageBreakBefore w:val="0"/>
              <w:widowControl/>
              <w:tabs>
                <w:tab w:val="left" w:pos="1778"/>
              </w:tabs>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在岗要求</w:t>
            </w:r>
          </w:p>
        </w:tc>
      </w:tr>
      <w:tr w14:paraId="3B34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094" w:type="dxa"/>
            <w:noWrap w:val="0"/>
            <w:vAlign w:val="center"/>
          </w:tcPr>
          <w:p w14:paraId="01F0151F">
            <w:pPr>
              <w:keepNext w:val="0"/>
              <w:keepLines w:val="0"/>
              <w:pageBreakBefore w:val="0"/>
              <w:widowControl/>
              <w:kinsoku w:val="0"/>
              <w:wordWrap/>
              <w:overflowPunct/>
              <w:topLinePunct w:val="0"/>
              <w:autoSpaceDE w:val="0"/>
              <w:autoSpaceDN w:val="0"/>
              <w:bidi w:val="0"/>
              <w:adjustRightInd w:val="0"/>
              <w:snapToGrid w:val="0"/>
              <w:ind w:firstLine="0" w:firstLineChars="0"/>
              <w:jc w:val="both"/>
              <w:textAlignment w:val="baseline"/>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310国道眉县青化至渭滨高家镇公路项目涉铁工程铁路营业线施工安全监理(二次)</w:t>
            </w:r>
          </w:p>
        </w:tc>
        <w:tc>
          <w:tcPr>
            <w:tcW w:w="991" w:type="dxa"/>
            <w:noWrap w:val="0"/>
            <w:vAlign w:val="center"/>
          </w:tcPr>
          <w:p w14:paraId="3AA4AD4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color w:val="000000" w:themeColor="text1"/>
                <w14:textFill>
                  <w14:solidFill>
                    <w14:schemeClr w14:val="tx1"/>
                  </w14:solidFill>
                </w14:textFill>
              </w:rPr>
            </w:pPr>
            <w:r>
              <w:rPr>
                <w:color w:val="000000" w:themeColor="text1"/>
                <w14:textFill>
                  <w14:solidFill>
                    <w14:schemeClr w14:val="tx1"/>
                  </w14:solidFill>
                </w14:textFill>
              </w:rPr>
              <w:t>总监理工程师</w:t>
            </w:r>
          </w:p>
        </w:tc>
        <w:tc>
          <w:tcPr>
            <w:tcW w:w="925" w:type="dxa"/>
            <w:noWrap w:val="0"/>
            <w:vAlign w:val="center"/>
          </w:tcPr>
          <w:p w14:paraId="6BC6AD5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color w:val="000000" w:themeColor="text1"/>
                <w14:textFill>
                  <w14:solidFill>
                    <w14:schemeClr w14:val="tx1"/>
                  </w14:solidFill>
                </w14:textFill>
              </w:rPr>
            </w:pPr>
            <w:r>
              <w:rPr>
                <w:color w:val="000000" w:themeColor="text1"/>
                <w14:textFill>
                  <w14:solidFill>
                    <w14:schemeClr w14:val="tx1"/>
                  </w14:solidFill>
                </w14:textFill>
              </w:rPr>
              <w:t>1</w:t>
            </w:r>
          </w:p>
        </w:tc>
        <w:tc>
          <w:tcPr>
            <w:tcW w:w="3800" w:type="dxa"/>
            <w:noWrap w:val="0"/>
            <w:vAlign w:val="center"/>
          </w:tcPr>
          <w:p w14:paraId="6BF3F9F2">
            <w:pPr>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能够提供近一年（2025年6月至今）职工基本养老保险个人账户缴纳证明文件，持有铁路工程专业国家注册监理工程师证书，且经过铁路总监理工程师业务培训并取得培训合格证书，担任过1项铁路营业线（或邻近铁路营业线）工程施工监理服务项目的总监理工程师，且无在监项目。</w:t>
            </w:r>
          </w:p>
        </w:tc>
        <w:tc>
          <w:tcPr>
            <w:tcW w:w="1810" w:type="dxa"/>
            <w:noWrap w:val="0"/>
            <w:vAlign w:val="center"/>
          </w:tcPr>
          <w:p w14:paraId="647526A9">
            <w:pPr>
              <w:bidi w:val="0"/>
              <w:rPr>
                <w:rFonts w:hint="eastAsia"/>
                <w:color w:val="000000" w:themeColor="text1"/>
                <w14:textFill>
                  <w14:solidFill>
                    <w14:schemeClr w14:val="tx1"/>
                  </w14:solidFill>
                </w14:textFill>
              </w:rPr>
            </w:pPr>
            <w:r>
              <w:rPr>
                <w:color w:val="000000" w:themeColor="text1"/>
                <w14:textFill>
                  <w14:solidFill>
                    <w14:schemeClr w14:val="tx1"/>
                  </w14:solidFill>
                </w14:textFill>
              </w:rPr>
              <w:t>无在岗项目（指目前未在其他项目上任职，或虽在其他项目上任职但本项目中标后能够从该项目撤离）</w:t>
            </w:r>
          </w:p>
        </w:tc>
      </w:tr>
    </w:tbl>
    <w:p w14:paraId="7D4A2619">
      <w:pPr>
        <w:bidi w:val="0"/>
        <w:rPr>
          <w:rFonts w:hint="eastAsia"/>
          <w:lang w:val="en-US" w:eastAsia="zh-CN"/>
        </w:rPr>
      </w:pPr>
      <w:r>
        <w:rPr>
          <w:rFonts w:hint="eastAsia"/>
          <w:lang w:val="en-US" w:eastAsia="zh-CN"/>
        </w:rPr>
        <w:t>（5）本次招标 不接受 联合体投标。</w:t>
      </w:r>
    </w:p>
    <w:p w14:paraId="65E9C7D4">
      <w:pPr>
        <w:bidi w:val="0"/>
        <w:rPr>
          <w:rFonts w:hint="eastAsia"/>
          <w:lang w:val="en-US" w:eastAsia="zh-CN"/>
        </w:rPr>
      </w:pPr>
      <w:r>
        <w:rPr>
          <w:rFonts w:hint="eastAsia"/>
          <w:lang w:val="en-US" w:eastAsia="zh-CN"/>
        </w:rPr>
        <w:t>（6）每个投标人最多可对 1个标段 投标，被 / 交通运输主管部门评为/信用等级的投标人，最多可对/投标。每个投标人允许中 1个标段 。对投标人信用等级的认定条件为：/。补充说明：/。</w:t>
      </w:r>
    </w:p>
    <w:p w14:paraId="78BE97D0">
      <w:pPr>
        <w:bidi w:val="0"/>
        <w:rPr>
          <w:rFonts w:hint="eastAsia"/>
          <w:lang w:val="en-US" w:eastAsia="zh-CN"/>
        </w:rPr>
      </w:pPr>
      <w:r>
        <w:rPr>
          <w:rFonts w:hint="eastAsia"/>
          <w:lang w:val="en-US" w:eastAsia="zh-CN"/>
        </w:rPr>
        <w:t>（7）与招标人存在利害关系可能影响招标公正性的单位，不得参加投标。单位负责人为同一人或存在控股、管理关系的不同单位，不得同时参加本次投标，否则相关投标均无效。投标人应如实填报本单位的信誉情况，并按照招标文件要求在投标文件中附其在中国裁判文书网、国家企业信用信息公示系统、中国执行信息公开网、信用中国相应查询结果网页截图复印件。</w:t>
      </w:r>
    </w:p>
    <w:p w14:paraId="63747430">
      <w:pPr>
        <w:bidi w:val="0"/>
        <w:rPr>
          <w:rFonts w:hint="eastAsia"/>
          <w:lang w:val="en-US" w:eastAsia="zh-CN"/>
        </w:rPr>
      </w:pPr>
      <w:r>
        <w:rPr>
          <w:rFonts w:hint="eastAsia"/>
          <w:lang w:val="en-US" w:eastAsia="zh-CN"/>
        </w:rPr>
        <w:t>（8）在“信用中国”网站（http://www.creditchina.gov.cn/）中被列入失信被执行人名单的投标人，不得参加投标。</w:t>
      </w:r>
    </w:p>
    <w:p w14:paraId="52A2C47A">
      <w:pPr>
        <w:bidi w:val="0"/>
        <w:rPr>
          <w:rFonts w:hint="eastAsia"/>
        </w:rPr>
      </w:pPr>
      <w:r>
        <w:rPr>
          <w:rFonts w:hint="eastAsia"/>
        </w:rPr>
        <w:t>投标保证金：每个投标人</w:t>
      </w:r>
      <w:r>
        <w:rPr>
          <w:rFonts w:hint="eastAsia"/>
          <w:lang w:val="en-US" w:eastAsia="zh-CN"/>
        </w:rPr>
        <w:t>2</w:t>
      </w:r>
      <w:r>
        <w:rPr>
          <w:rFonts w:hint="eastAsia"/>
        </w:rPr>
        <w:t>万元人民币；投标保证金形式：电汇、转账或保函。</w:t>
      </w:r>
    </w:p>
    <w:p w14:paraId="36A148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sz w:val="32"/>
          <w:szCs w:val="32"/>
          <w:lang w:val="en-US" w:eastAsia="zh-CN"/>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三、评标办法</w:t>
      </w:r>
    </w:p>
    <w:p w14:paraId="37F16E1C">
      <w:pPr>
        <w:spacing w:line="360" w:lineRule="auto"/>
        <w:jc w:val="center"/>
        <w:rPr>
          <w:b/>
          <w:color w:val="000000" w:themeColor="text1"/>
          <w:sz w:val="28"/>
          <w:szCs w:val="28"/>
          <w14:textFill>
            <w14:solidFill>
              <w14:schemeClr w14:val="tx1"/>
            </w14:solidFill>
          </w14:textFill>
        </w:rPr>
      </w:pPr>
      <w:r>
        <w:rPr>
          <w:rFonts w:hAnsi="宋体"/>
          <w:b/>
          <w:color w:val="000000" w:themeColor="text1"/>
          <w:sz w:val="28"/>
          <w:szCs w:val="28"/>
          <w14:textFill>
            <w14:solidFill>
              <w14:schemeClr w14:val="tx1"/>
            </w14:solidFill>
          </w14:textFill>
        </w:rPr>
        <w:t>评标办法前附表</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379"/>
        <w:gridCol w:w="619"/>
        <w:gridCol w:w="6"/>
        <w:gridCol w:w="140"/>
        <w:gridCol w:w="556"/>
        <w:gridCol w:w="1503"/>
        <w:gridCol w:w="550"/>
        <w:gridCol w:w="1147"/>
        <w:gridCol w:w="3616"/>
      </w:tblGrid>
      <w:tr w14:paraId="43B23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808" w:type="dxa"/>
            <w:gridSpan w:val="5"/>
            <w:vAlign w:val="center"/>
          </w:tcPr>
          <w:p w14:paraId="0043069D">
            <w:pPr>
              <w:keepNext w:val="0"/>
              <w:keepLines w:val="0"/>
              <w:pageBreakBefore w:val="0"/>
              <w:widowControl/>
              <w:kinsoku w:val="0"/>
              <w:wordWrap/>
              <w:overflowPunct/>
              <w:topLinePunct w:val="0"/>
              <w:autoSpaceDE/>
              <w:autoSpaceDN/>
              <w:bidi w:val="0"/>
              <w:adjustRightInd/>
              <w:snapToGrid w:val="0"/>
              <w:ind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条款号</w:t>
            </w:r>
          </w:p>
        </w:tc>
        <w:tc>
          <w:tcPr>
            <w:tcW w:w="7372" w:type="dxa"/>
            <w:gridSpan w:val="5"/>
            <w:vAlign w:val="center"/>
          </w:tcPr>
          <w:p w14:paraId="1EBDFB47">
            <w:pPr>
              <w:keepNext w:val="0"/>
              <w:keepLines w:val="0"/>
              <w:pageBreakBefore w:val="0"/>
              <w:widowControl/>
              <w:kinsoku w:val="0"/>
              <w:wordWrap/>
              <w:overflowPunct/>
              <w:topLinePunct w:val="0"/>
              <w:autoSpaceDE/>
              <w:autoSpaceDN/>
              <w:bidi w:val="0"/>
              <w:adjustRightInd/>
              <w:snapToGrid w:val="0"/>
              <w:ind w:firstLine="0" w:firstLineChars="0"/>
              <w:jc w:val="center"/>
              <w:textAlignment w:val="auto"/>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评审因素与标准</w:t>
            </w:r>
          </w:p>
        </w:tc>
      </w:tr>
      <w:tr w14:paraId="78619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043" w:type="dxa"/>
            <w:gridSpan w:val="2"/>
            <w:vAlign w:val="center"/>
          </w:tcPr>
          <w:p w14:paraId="2E25F2EF">
            <w:pPr>
              <w:keepNext w:val="0"/>
              <w:keepLines w:val="0"/>
              <w:pageBreakBefore w:val="0"/>
              <w:widowControl/>
              <w:kinsoku w:val="0"/>
              <w:wordWrap/>
              <w:overflowPunct/>
              <w:topLinePunct w:val="0"/>
              <w:autoSpaceDE/>
              <w:autoSpaceDN/>
              <w:bidi w:val="0"/>
              <w:adjustRightInd/>
              <w:snapToGrid w:val="0"/>
              <w:ind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765" w:type="dxa"/>
            <w:gridSpan w:val="3"/>
            <w:vAlign w:val="center"/>
          </w:tcPr>
          <w:p w14:paraId="7F6AB0ED">
            <w:pPr>
              <w:keepNext w:val="0"/>
              <w:keepLines w:val="0"/>
              <w:pageBreakBefore w:val="0"/>
              <w:widowControl/>
              <w:kinsoku w:val="0"/>
              <w:wordWrap/>
              <w:overflowPunct/>
              <w:topLinePunct w:val="0"/>
              <w:autoSpaceDE/>
              <w:autoSpaceDN/>
              <w:bidi w:val="0"/>
              <w:adjustRightInd/>
              <w:snapToGrid w:val="0"/>
              <w:ind w:firstLine="0" w:firstLineChars="0"/>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评标方法</w:t>
            </w:r>
          </w:p>
        </w:tc>
        <w:tc>
          <w:tcPr>
            <w:tcW w:w="7372" w:type="dxa"/>
            <w:gridSpan w:val="5"/>
            <w:vAlign w:val="center"/>
          </w:tcPr>
          <w:p w14:paraId="63F4C62D">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综合得分由高至低对投标人进行排序。推荐得分排名第一的投标人为第一中标候选人，排名第二、第三的投标人分别为第二、第三中标候选人。综合评分相等时，评标委员会依次按照以下优先顺序推荐中标候选人或确定中标人：</w:t>
            </w:r>
          </w:p>
          <w:p w14:paraId="2C51F3EC">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（1）评标价低的投标人优先；</w:t>
            </w:r>
          </w:p>
          <w:p w14:paraId="3ED37335">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（2）技术建议书得分较高的投标人优先。</w:t>
            </w:r>
          </w:p>
        </w:tc>
      </w:tr>
      <w:tr w14:paraId="39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4" w:hRule="atLeast"/>
          <w:jc w:val="center"/>
        </w:trPr>
        <w:tc>
          <w:tcPr>
            <w:tcW w:w="1043" w:type="dxa"/>
            <w:gridSpan w:val="2"/>
            <w:vAlign w:val="center"/>
          </w:tcPr>
          <w:p w14:paraId="5CC340E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r>
              <w:rPr>
                <w:rFonts w:ascii="Times New Roman" w:hAnsi="Times New Roman" w:cs="Times New Roman"/>
                <w:color w:val="auto"/>
                <w:szCs w:val="21"/>
                <w:highlight w:val="none"/>
              </w:rPr>
              <w:t>2.1.1</w:t>
            </w:r>
          </w:p>
          <w:p w14:paraId="41F28C8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r>
              <w:rPr>
                <w:rFonts w:ascii="Times New Roman" w:hAnsi="Times New Roman" w:cs="Times New Roman"/>
                <w:color w:val="auto"/>
                <w:szCs w:val="21"/>
                <w:highlight w:val="none"/>
              </w:rPr>
              <w:t>2.1.3</w:t>
            </w:r>
          </w:p>
        </w:tc>
        <w:tc>
          <w:tcPr>
            <w:tcW w:w="765" w:type="dxa"/>
            <w:gridSpan w:val="3"/>
            <w:vAlign w:val="center"/>
          </w:tcPr>
          <w:p w14:paraId="6CB6C01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r>
              <w:rPr>
                <w:rFonts w:ascii="Times New Roman" w:hAnsi="Times New Roman" w:cs="Times New Roman"/>
                <w:color w:val="auto"/>
                <w:szCs w:val="21"/>
                <w:highlight w:val="none"/>
              </w:rPr>
              <w:t>形式评审与响应性评审标准</w:t>
            </w:r>
          </w:p>
          <w:p w14:paraId="690BD8A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p>
        </w:tc>
        <w:tc>
          <w:tcPr>
            <w:tcW w:w="7372" w:type="dxa"/>
            <w:gridSpan w:val="5"/>
          </w:tcPr>
          <w:p w14:paraId="76DC364E">
            <w:pPr>
              <w:jc w:val="left"/>
              <w:rPr>
                <w:rFonts w:ascii="Times New Roman" w:hAnsi="Times New Roman" w:cs="Times New Roman"/>
                <w:color w:val="auto"/>
                <w:highlight w:val="none"/>
              </w:rPr>
            </w:pPr>
            <w:r>
              <w:rPr>
                <w:rFonts w:ascii="Times New Roman" w:hAnsi="Times New Roman" w:cs="Times New Roman"/>
                <w:color w:val="auto"/>
                <w:highlight w:val="none"/>
              </w:rPr>
              <w:t>第一信封（商务及技术文件）评审标准：</w:t>
            </w:r>
          </w:p>
          <w:p w14:paraId="3B3A2657">
            <w:pPr>
              <w:numPr>
                <w:ilvl w:val="0"/>
                <w:numId w:val="1"/>
              </w:numPr>
              <w:snapToGrid w:val="0"/>
              <w:jc w:val="left"/>
              <w:rPr>
                <w:rFonts w:ascii="Times New Roman" w:hAnsi="Times New Roman" w:cs="Times New Roman"/>
                <w:color w:val="auto"/>
                <w:highlight w:val="none"/>
              </w:rPr>
            </w:pPr>
            <w:r>
              <w:rPr>
                <w:rFonts w:ascii="Times New Roman" w:hAnsi="Times New Roman" w:cs="Times New Roman"/>
                <w:color w:val="auto"/>
                <w:highlight w:val="none"/>
              </w:rPr>
              <w:t xml:space="preserve">投标文件按照招标文件规定的格式、内容和要求编制，字迹清晰可辨； </w:t>
            </w:r>
          </w:p>
          <w:p w14:paraId="0A69C406">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a.投标函按招标文件规定填报了项目名称、补遗书编号（如有）、监理服务期限、工程质量要求及安全目标；</w:t>
            </w:r>
          </w:p>
          <w:p w14:paraId="18E1FDF4">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b.投标文件组成齐全完整，内容均按规定填写（包括响应备注、附表所要求的内容）。</w:t>
            </w:r>
          </w:p>
          <w:p w14:paraId="49415940">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（2）投标文件上法定代表人或其委托代理人的签字或盖章，投标人的单位章盖章齐全，符合招标文件规定。</w:t>
            </w:r>
          </w:p>
          <w:p w14:paraId="5DCC04B4">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（3）投标人按照招标文件规定提供了投标保证金；</w:t>
            </w:r>
          </w:p>
          <w:p w14:paraId="6C3CA2CC">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a.投标保证金金额符合招标文件规定的金额，且投标保证金有效期不少于投标有效期；</w:t>
            </w:r>
          </w:p>
          <w:p w14:paraId="5E22195D">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b.若投标保证金采用现金形式提交，投标人应在递交投标文件截止时间之前，将投标保证金由投标人的基本账户转入招标人指定账户；</w:t>
            </w:r>
          </w:p>
          <w:p w14:paraId="61A64032">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c.若投标保证金采用银行保函形式提交，银行保函的格式、开具保函的银行均满足招标文件要求，且在递交投标文件截止时间之前向代理机构提交了银行保函原件和开具保函权限说明（如有）的原件。</w:t>
            </w:r>
          </w:p>
          <w:p w14:paraId="670F0F8B">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（4）投标人法定代表人授权委托代理人签署投标文件的，需提交授权委托书，且单位章盖章及法人章盖章齐全，符合招标文件规定。</w:t>
            </w:r>
          </w:p>
          <w:p w14:paraId="49890117">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（5）投标人法定代表人亲自签署投标文件的，提供了法定代表人身份证明，且法定代表人在法定代表人身份证明上盖章，符合招标文件规定。</w:t>
            </w:r>
          </w:p>
          <w:p w14:paraId="31FBA36A">
            <w:pPr>
              <w:snapToGrid w:val="0"/>
              <w:jc w:val="left"/>
              <w:rPr>
                <w:rFonts w:ascii="Times New Roman" w:hAnsi="Times New Roman" w:cs="Times New Roman"/>
                <w:color w:val="auto"/>
                <w:highlight w:val="none"/>
              </w:rPr>
            </w:pPr>
            <w:r>
              <w:rPr>
                <w:rFonts w:ascii="Times New Roman" w:hAnsi="Times New Roman" w:cs="Times New Roman"/>
                <w:color w:val="auto"/>
                <w:highlight w:val="none"/>
              </w:rPr>
              <w:t>（6）投标人没有以联合体形式提出申请。</w:t>
            </w:r>
          </w:p>
          <w:p w14:paraId="54641107">
            <w:pPr>
              <w:jc w:val="left"/>
              <w:rPr>
                <w:rFonts w:ascii="Times New Roman" w:hAnsi="Times New Roman" w:cs="Times New Roman"/>
                <w:color w:val="auto"/>
                <w:highlight w:val="none"/>
              </w:rPr>
            </w:pPr>
            <w:r>
              <w:rPr>
                <w:rFonts w:ascii="Times New Roman" w:hAnsi="Times New Roman" w:cs="Times New Roman"/>
                <w:color w:val="auto"/>
                <w:highlight w:val="none"/>
              </w:rPr>
              <w:t>（7）同一投标人未提交两个以上不同的投标文件。</w:t>
            </w:r>
          </w:p>
          <w:p w14:paraId="685DF553">
            <w:pPr>
              <w:jc w:val="left"/>
              <w:rPr>
                <w:rFonts w:ascii="Times New Roman" w:hAnsi="Times New Roman" w:cs="Times New Roman"/>
                <w:color w:val="auto"/>
                <w:highlight w:val="none"/>
              </w:rPr>
            </w:pPr>
            <w:r>
              <w:rPr>
                <w:rFonts w:ascii="Times New Roman" w:hAnsi="Times New Roman" w:cs="Times New Roman"/>
                <w:color w:val="auto"/>
                <w:highlight w:val="none"/>
              </w:rPr>
              <w:t>（8）投标文件中未出现有关投标报价的内容。</w:t>
            </w:r>
          </w:p>
          <w:p w14:paraId="1F65D985">
            <w:pPr>
              <w:jc w:val="left"/>
              <w:rPr>
                <w:rFonts w:ascii="Times New Roman" w:hAnsi="Times New Roman" w:cs="Times New Roman"/>
                <w:color w:val="auto"/>
                <w:highlight w:val="none"/>
              </w:rPr>
            </w:pPr>
            <w:r>
              <w:rPr>
                <w:rFonts w:ascii="Times New Roman" w:hAnsi="Times New Roman" w:cs="Times New Roman"/>
                <w:color w:val="auto"/>
                <w:highlight w:val="none"/>
              </w:rPr>
              <w:t>（9）投标文件载明的招标项目完成期限未超过招标文件规定的时限。</w:t>
            </w:r>
          </w:p>
          <w:p w14:paraId="330970ED">
            <w:pPr>
              <w:jc w:val="left"/>
              <w:rPr>
                <w:rFonts w:ascii="Times New Roman" w:hAnsi="Times New Roman" w:cs="Times New Roman"/>
                <w:color w:val="auto"/>
                <w:highlight w:val="none"/>
              </w:rPr>
            </w:pPr>
            <w:r>
              <w:rPr>
                <w:rFonts w:ascii="Times New Roman" w:hAnsi="Times New Roman" w:cs="Times New Roman"/>
                <w:color w:val="auto"/>
                <w:highlight w:val="none"/>
              </w:rPr>
              <w:t>（10）投标文件对招标文件的实质性要求和条件作出响应。</w:t>
            </w:r>
          </w:p>
          <w:p w14:paraId="187E739D">
            <w:pPr>
              <w:jc w:val="left"/>
              <w:rPr>
                <w:rFonts w:ascii="Times New Roman" w:hAnsi="Times New Roman" w:cs="Times New Roman"/>
                <w:color w:val="auto"/>
                <w:highlight w:val="none"/>
              </w:rPr>
            </w:pPr>
            <w:r>
              <w:rPr>
                <w:rFonts w:ascii="Times New Roman" w:hAnsi="Times New Roman" w:cs="Times New Roman"/>
                <w:color w:val="auto"/>
                <w:highlight w:val="none"/>
              </w:rPr>
              <w:t>（11）权利义务符合招标文件规定：</w:t>
            </w:r>
          </w:p>
          <w:p w14:paraId="6BC9EED5">
            <w:pPr>
              <w:jc w:val="left"/>
              <w:rPr>
                <w:rFonts w:ascii="Times New Roman" w:hAnsi="Times New Roman" w:cs="Times New Roman"/>
                <w:color w:val="auto"/>
                <w:highlight w:val="none"/>
              </w:rPr>
            </w:pPr>
            <w:r>
              <w:rPr>
                <w:rFonts w:ascii="Times New Roman" w:hAnsi="Times New Roman" w:cs="Times New Roman"/>
                <w:color w:val="auto"/>
                <w:highlight w:val="none"/>
              </w:rPr>
              <w:t>a.投标人应接受招标文件规定的风险划分原则，未提出新的风险划分办法；</w:t>
            </w:r>
          </w:p>
          <w:p w14:paraId="1AE612D2">
            <w:pPr>
              <w:jc w:val="left"/>
              <w:rPr>
                <w:rFonts w:ascii="Times New Roman" w:hAnsi="Times New Roman" w:cs="Times New Roman"/>
                <w:color w:val="auto"/>
                <w:highlight w:val="none"/>
              </w:rPr>
            </w:pPr>
            <w:r>
              <w:rPr>
                <w:rFonts w:ascii="Times New Roman" w:hAnsi="Times New Roman" w:cs="Times New Roman"/>
                <w:color w:val="auto"/>
                <w:highlight w:val="none"/>
              </w:rPr>
              <w:t>b.投标人未增加发包人的责任范围，或减少投标人义务；</w:t>
            </w:r>
          </w:p>
          <w:p w14:paraId="7582B1EE">
            <w:pPr>
              <w:jc w:val="left"/>
              <w:rPr>
                <w:rFonts w:ascii="Times New Roman" w:hAnsi="Times New Roman" w:cs="Times New Roman"/>
                <w:color w:val="auto"/>
                <w:highlight w:val="none"/>
              </w:rPr>
            </w:pPr>
            <w:r>
              <w:rPr>
                <w:rFonts w:ascii="Times New Roman" w:hAnsi="Times New Roman" w:cs="Times New Roman"/>
                <w:color w:val="auto"/>
                <w:highlight w:val="none"/>
              </w:rPr>
              <w:t>c.投标人未提出不同的工程验收、计量、支付办法；</w:t>
            </w:r>
          </w:p>
          <w:p w14:paraId="584F22B4">
            <w:pPr>
              <w:jc w:val="left"/>
              <w:rPr>
                <w:rFonts w:ascii="Times New Roman" w:hAnsi="Times New Roman" w:cs="Times New Roman"/>
                <w:color w:val="auto"/>
                <w:highlight w:val="none"/>
              </w:rPr>
            </w:pPr>
            <w:r>
              <w:rPr>
                <w:rFonts w:ascii="Times New Roman" w:hAnsi="Times New Roman" w:cs="Times New Roman"/>
                <w:color w:val="auto"/>
                <w:highlight w:val="none"/>
              </w:rPr>
              <w:t>d.投标人对合同纠纷、事故处理办法未提出异议；</w:t>
            </w:r>
          </w:p>
          <w:p w14:paraId="4CA7CA42">
            <w:pPr>
              <w:jc w:val="left"/>
              <w:rPr>
                <w:rFonts w:ascii="Times New Roman" w:hAnsi="Times New Roman" w:cs="Times New Roman"/>
                <w:color w:val="auto"/>
                <w:highlight w:val="none"/>
              </w:rPr>
            </w:pPr>
            <w:r>
              <w:rPr>
                <w:rFonts w:ascii="Times New Roman" w:hAnsi="Times New Roman" w:cs="Times New Roman"/>
                <w:color w:val="auto"/>
                <w:highlight w:val="none"/>
              </w:rPr>
              <w:t>e.投标人在投标活动中无欺诈行为；</w:t>
            </w:r>
          </w:p>
          <w:p w14:paraId="5144D7AE">
            <w:pPr>
              <w:jc w:val="left"/>
              <w:rPr>
                <w:rFonts w:ascii="Times New Roman" w:hAnsi="Times New Roman" w:cs="Times New Roman"/>
                <w:color w:val="auto"/>
                <w:highlight w:val="none"/>
              </w:rPr>
            </w:pPr>
            <w:r>
              <w:rPr>
                <w:rFonts w:ascii="Times New Roman" w:hAnsi="Times New Roman" w:cs="Times New Roman"/>
                <w:color w:val="auto"/>
                <w:highlight w:val="none"/>
              </w:rPr>
              <w:t>f.投标人未对合同条款有重要保留。</w:t>
            </w:r>
          </w:p>
          <w:p w14:paraId="5B1BB423">
            <w:pPr>
              <w:jc w:val="left"/>
              <w:rPr>
                <w:rFonts w:ascii="Times New Roman" w:hAnsi="Times New Roman" w:cs="Times New Roman"/>
                <w:strike w:val="0"/>
                <w:dstrike w:val="0"/>
                <w:color w:val="auto"/>
                <w:highlight w:val="none"/>
              </w:rPr>
            </w:pPr>
            <w:r>
              <w:rPr>
                <w:rFonts w:ascii="Times New Roman" w:hAnsi="Times New Roman" w:cs="Times New Roman"/>
                <w:strike w:val="0"/>
                <w:dstrike w:val="0"/>
                <w:color w:val="auto"/>
                <w:highlight w:val="none"/>
              </w:rPr>
              <w:t>（1</w:t>
            </w:r>
            <w:r>
              <w:rPr>
                <w:rFonts w:hint="eastAsia" w:cs="Times New Roman"/>
                <w:strike w:val="0"/>
                <w:dstrike w:val="0"/>
                <w:color w:val="auto"/>
                <w:highlight w:val="none"/>
                <w:lang w:val="en-US" w:eastAsia="zh-CN"/>
              </w:rPr>
              <w:t>2</w:t>
            </w:r>
            <w:r>
              <w:rPr>
                <w:rFonts w:ascii="Times New Roman" w:hAnsi="Times New Roman" w:cs="Times New Roman"/>
                <w:strike w:val="0"/>
                <w:dstrike w:val="0"/>
                <w:color w:val="auto"/>
                <w:highlight w:val="none"/>
              </w:rPr>
              <w:t>）</w:t>
            </w:r>
            <w:r>
              <w:rPr>
                <w:rFonts w:ascii="Times New Roman" w:hAnsi="Times New Roman" w:cs="Times New Roman"/>
                <w:strike w:val="0"/>
                <w:dstrike w:val="0"/>
                <w:color w:val="auto"/>
                <w:highlight w:val="none"/>
                <w:lang w:val="en-US" w:eastAsia="zh-CN"/>
              </w:rPr>
              <w:t>投标文件投标函标明的项目名称、招标人及投标人名称一致。</w:t>
            </w:r>
          </w:p>
          <w:p w14:paraId="2C21B574">
            <w:pPr>
              <w:jc w:val="left"/>
              <w:rPr>
                <w:rFonts w:ascii="Times New Roman" w:hAnsi="Times New Roman" w:cs="Times New Roman"/>
                <w:strike w:val="0"/>
                <w:dstrike w:val="0"/>
                <w:color w:val="auto"/>
                <w:highlight w:val="none"/>
              </w:rPr>
            </w:pPr>
            <w:r>
              <w:rPr>
                <w:rFonts w:ascii="Times New Roman" w:hAnsi="Times New Roman" w:cs="Times New Roman"/>
                <w:strike w:val="0"/>
                <w:dstrike w:val="0"/>
                <w:color w:val="auto"/>
                <w:highlight w:val="none"/>
              </w:rPr>
              <w:t>（1</w:t>
            </w:r>
            <w:r>
              <w:rPr>
                <w:rFonts w:hint="eastAsia" w:cs="Times New Roman"/>
                <w:strike w:val="0"/>
                <w:dstrike w:val="0"/>
                <w:color w:val="auto"/>
                <w:highlight w:val="none"/>
                <w:lang w:val="en-US" w:eastAsia="zh-CN"/>
              </w:rPr>
              <w:t>3</w:t>
            </w:r>
            <w:r>
              <w:rPr>
                <w:rFonts w:ascii="Times New Roman" w:hAnsi="Times New Roman" w:cs="Times New Roman"/>
                <w:strike w:val="0"/>
                <w:dstrike w:val="0"/>
                <w:color w:val="auto"/>
                <w:highlight w:val="none"/>
              </w:rPr>
              <w:t>）不同投标人的投标文件未相互混装。</w:t>
            </w:r>
            <w:r>
              <w:rPr>
                <w:rFonts w:ascii="Times New Roman" w:hAnsi="Times New Roman" w:cs="Times New Roman"/>
                <w:strike w:val="0"/>
                <w:dstrike w:val="0"/>
                <w:color w:val="auto"/>
                <w:highlight w:val="none"/>
              </w:rPr>
              <w:tab/>
            </w:r>
          </w:p>
          <w:p w14:paraId="4DC97592">
            <w:pPr>
              <w:jc w:val="left"/>
              <w:rPr>
                <w:rFonts w:ascii="Times New Roman" w:hAnsi="Times New Roman" w:cs="Times New Roman"/>
                <w:color w:val="auto"/>
                <w:highlight w:val="none"/>
              </w:rPr>
            </w:pPr>
            <w:r>
              <w:rPr>
                <w:rFonts w:ascii="Times New Roman" w:hAnsi="Times New Roman" w:cs="Times New Roman"/>
                <w:color w:val="auto"/>
                <w:highlight w:val="none"/>
              </w:rPr>
              <w:t>第二信封（报价文件）评审标准：</w:t>
            </w:r>
          </w:p>
          <w:p w14:paraId="5E6D861F">
            <w:pPr>
              <w:jc w:val="left"/>
              <w:rPr>
                <w:rFonts w:ascii="Times New Roman" w:hAnsi="Times New Roman" w:cs="Times New Roman"/>
                <w:color w:val="auto"/>
                <w:highlight w:val="none"/>
              </w:rPr>
            </w:pPr>
            <w:r>
              <w:rPr>
                <w:rFonts w:ascii="Times New Roman" w:hAnsi="Times New Roman" w:cs="Times New Roman"/>
                <w:color w:val="auto"/>
                <w:highlight w:val="none"/>
              </w:rPr>
              <w:t>(1)投标文件按照招标文件规定的格式、内容填写，字迹清晰可辨，内容齐全完整：</w:t>
            </w:r>
          </w:p>
          <w:p w14:paraId="27992D9E">
            <w:pPr>
              <w:jc w:val="left"/>
              <w:rPr>
                <w:rFonts w:ascii="Times New Roman" w:hAnsi="Times New Roman" w:cs="Times New Roman"/>
                <w:color w:val="auto"/>
                <w:highlight w:val="none"/>
              </w:rPr>
            </w:pPr>
            <w:r>
              <w:rPr>
                <w:rFonts w:ascii="Times New Roman" w:hAnsi="Times New Roman" w:cs="Times New Roman"/>
                <w:color w:val="auto"/>
                <w:highlight w:val="none"/>
              </w:rPr>
              <w:t>a.投标函按招标文件规定填报了项目名称、补遗书编号（如有）、投标价（包括大写金额和小写金额）；</w:t>
            </w:r>
          </w:p>
          <w:p w14:paraId="0048B048">
            <w:pPr>
              <w:jc w:val="left"/>
              <w:rPr>
                <w:rFonts w:ascii="Times New Roman" w:hAnsi="Times New Roman" w:cs="Times New Roman"/>
                <w:color w:val="auto"/>
                <w:highlight w:val="none"/>
              </w:rPr>
            </w:pPr>
            <w:r>
              <w:rPr>
                <w:rFonts w:ascii="Times New Roman" w:hAnsi="Times New Roman" w:cs="Times New Roman"/>
                <w:color w:val="auto"/>
                <w:highlight w:val="none"/>
              </w:rPr>
              <w:t>b.已标价工程量清单说明文字与招标文件规定一致，未进行实质性修改和删减；</w:t>
            </w:r>
          </w:p>
          <w:p w14:paraId="3C85AA82">
            <w:pPr>
              <w:jc w:val="left"/>
              <w:rPr>
                <w:rFonts w:ascii="Times New Roman" w:hAnsi="Times New Roman" w:cs="Times New Roman"/>
                <w:color w:val="auto"/>
                <w:highlight w:val="none"/>
              </w:rPr>
            </w:pPr>
            <w:r>
              <w:rPr>
                <w:rFonts w:ascii="Times New Roman" w:hAnsi="Times New Roman" w:cs="Times New Roman"/>
                <w:color w:val="auto"/>
                <w:highlight w:val="none"/>
              </w:rPr>
              <w:t>c.投标文件组成齐全完整，内容均按规定填写。</w:t>
            </w:r>
          </w:p>
          <w:p w14:paraId="6DBF264C">
            <w:pPr>
              <w:jc w:val="left"/>
              <w:rPr>
                <w:rFonts w:ascii="Times New Roman" w:hAnsi="Times New Roman" w:cs="Times New Roman"/>
                <w:color w:val="auto"/>
                <w:highlight w:val="none"/>
              </w:rPr>
            </w:pPr>
            <w:r>
              <w:rPr>
                <w:rFonts w:ascii="Times New Roman" w:hAnsi="Times New Roman" w:cs="Times New Roman"/>
                <w:color w:val="auto"/>
                <w:highlight w:val="none"/>
              </w:rPr>
              <w:t>(2)投标文件上法定代表人或其委托代理人的签字或盖章，投标人的单位章盖章齐全，符合招标文件规定。</w:t>
            </w:r>
          </w:p>
          <w:p w14:paraId="14CDB2E0">
            <w:pPr>
              <w:jc w:val="left"/>
              <w:rPr>
                <w:rFonts w:ascii="Times New Roman" w:hAnsi="Times New Roman" w:cs="Times New Roman"/>
                <w:color w:val="auto"/>
                <w:highlight w:val="none"/>
              </w:rPr>
            </w:pPr>
            <w:r>
              <w:rPr>
                <w:rFonts w:ascii="Times New Roman" w:hAnsi="Times New Roman" w:cs="Times New Roman"/>
                <w:color w:val="auto"/>
                <w:highlight w:val="none"/>
              </w:rPr>
              <w:t>(3)投标报价未超过招标文件设定的最高投标限价。</w:t>
            </w:r>
          </w:p>
          <w:p w14:paraId="6C95AB5A">
            <w:pPr>
              <w:jc w:val="left"/>
              <w:rPr>
                <w:rFonts w:ascii="Times New Roman" w:hAnsi="Times New Roman" w:cs="Times New Roman"/>
                <w:color w:val="auto"/>
                <w:highlight w:val="none"/>
              </w:rPr>
            </w:pPr>
            <w:r>
              <w:rPr>
                <w:rFonts w:ascii="Times New Roman" w:hAnsi="Times New Roman" w:cs="Times New Roman"/>
                <w:color w:val="auto"/>
                <w:highlight w:val="none"/>
              </w:rPr>
              <w:t>(4)投标报价的大写金额能够确定具体数值。</w:t>
            </w:r>
          </w:p>
          <w:p w14:paraId="3934364B">
            <w:pPr>
              <w:jc w:val="left"/>
              <w:rPr>
                <w:rFonts w:ascii="Times New Roman" w:hAnsi="Times New Roman" w:cs="Times New Roman"/>
                <w:color w:val="auto"/>
                <w:highlight w:val="none"/>
              </w:rPr>
            </w:pPr>
            <w:r>
              <w:rPr>
                <w:rFonts w:ascii="Times New Roman" w:hAnsi="Times New Roman" w:cs="Times New Roman"/>
                <w:color w:val="auto"/>
                <w:highlight w:val="none"/>
              </w:rPr>
              <w:t>(5)同一投标人未提交两个以上不同的投标报价。</w:t>
            </w:r>
          </w:p>
          <w:p w14:paraId="14228F50">
            <w:pPr>
              <w:jc w:val="left"/>
              <w:rPr>
                <w:rFonts w:ascii="Times New Roman" w:hAnsi="Times New Roman" w:cs="Times New Roman"/>
                <w:color w:val="auto"/>
                <w:highlight w:val="none"/>
                <w:lang w:val="en-US" w:eastAsia="zh-CN"/>
              </w:rPr>
            </w:pPr>
            <w:r>
              <w:rPr>
                <w:rFonts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6</w:t>
            </w:r>
            <w:r>
              <w:rPr>
                <w:rFonts w:ascii="Times New Roman" w:hAnsi="Times New Roman" w:cs="Times New Roman"/>
                <w:color w:val="auto"/>
                <w:highlight w:val="none"/>
                <w:lang w:val="en-US" w:eastAsia="zh-CN"/>
              </w:rPr>
              <w:t>)投标文件投标函标明的项目名称、招标人及投标人名称一致。</w:t>
            </w:r>
          </w:p>
          <w:p w14:paraId="11C6AC5C">
            <w:pPr>
              <w:jc w:val="left"/>
              <w:rPr>
                <w:rFonts w:ascii="Times New Roman" w:hAnsi="Times New Roman" w:eastAsia="楷体_GB2312" w:cs="Times New Roman"/>
                <w:color w:val="auto"/>
                <w:kern w:val="2"/>
                <w:sz w:val="21"/>
                <w:highlight w:val="none"/>
                <w:lang w:val="en-US" w:eastAsia="zh-CN" w:bidi="ar-SA"/>
              </w:rPr>
            </w:pPr>
            <w:r>
              <w:rPr>
                <w:rFonts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7</w:t>
            </w:r>
            <w:r>
              <w:rPr>
                <w:rFonts w:ascii="Times New Roman" w:hAnsi="Times New Roman" w:cs="Times New Roman"/>
                <w:color w:val="auto"/>
                <w:highlight w:val="none"/>
                <w:lang w:val="en-US" w:eastAsia="zh-CN"/>
              </w:rPr>
              <w:t>)不同投标人的投标文件未相互混装。</w:t>
            </w:r>
          </w:p>
        </w:tc>
      </w:tr>
      <w:tr w14:paraId="3FF2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4" w:hRule="atLeast"/>
          <w:jc w:val="center"/>
        </w:trPr>
        <w:tc>
          <w:tcPr>
            <w:tcW w:w="1043" w:type="dxa"/>
            <w:gridSpan w:val="2"/>
            <w:vAlign w:val="center"/>
          </w:tcPr>
          <w:p w14:paraId="15C6C67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r>
              <w:rPr>
                <w:rFonts w:ascii="Times New Roman" w:hAnsi="Times New Roman" w:cs="Times New Roman"/>
                <w:color w:val="auto"/>
                <w:szCs w:val="21"/>
                <w:highlight w:val="none"/>
              </w:rPr>
              <w:t>2.1.2</w:t>
            </w:r>
          </w:p>
        </w:tc>
        <w:tc>
          <w:tcPr>
            <w:tcW w:w="765" w:type="dxa"/>
            <w:gridSpan w:val="3"/>
            <w:vAlign w:val="center"/>
          </w:tcPr>
          <w:p w14:paraId="0A22AC4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r>
              <w:rPr>
                <w:rFonts w:ascii="Times New Roman" w:hAnsi="Times New Roman" w:cs="Times New Roman"/>
                <w:color w:val="auto"/>
                <w:szCs w:val="21"/>
                <w:highlight w:val="none"/>
              </w:rPr>
              <w:t>资格评审标准</w:t>
            </w:r>
          </w:p>
        </w:tc>
        <w:tc>
          <w:tcPr>
            <w:tcW w:w="7372" w:type="dxa"/>
            <w:gridSpan w:val="5"/>
            <w:tcBorders>
              <w:bottom w:val="single" w:color="000000" w:sz="8" w:space="0"/>
            </w:tcBorders>
            <w:vAlign w:val="center"/>
          </w:tcPr>
          <w:p w14:paraId="55FB9DAE">
            <w:pPr>
              <w:jc w:val="left"/>
              <w:rPr>
                <w:rFonts w:ascii="Times New Roman" w:hAnsi="Times New Roman" w:cs="Times New Roman"/>
                <w:color w:val="auto"/>
                <w:highlight w:val="none"/>
              </w:rPr>
            </w:pPr>
          </w:p>
          <w:p w14:paraId="292C1256">
            <w:pPr>
              <w:jc w:val="left"/>
              <w:rPr>
                <w:rFonts w:ascii="Times New Roman" w:hAnsi="Times New Roman" w:cs="Times New Roman"/>
                <w:color w:val="auto"/>
                <w:highlight w:val="none"/>
              </w:rPr>
            </w:pPr>
            <w:r>
              <w:rPr>
                <w:rFonts w:ascii="Times New Roman" w:hAnsi="Times New Roman" w:cs="Times New Roman"/>
                <w:color w:val="auto"/>
                <w:highlight w:val="none"/>
              </w:rPr>
              <w:t>（1）投标人具备有效的营业执照、组织机构代码证、相应资质证书和基本账户开户许可证；</w:t>
            </w:r>
          </w:p>
          <w:p w14:paraId="4882AFC4">
            <w:pPr>
              <w:jc w:val="left"/>
              <w:rPr>
                <w:rFonts w:ascii="Times New Roman" w:hAnsi="Times New Roman" w:cs="Times New Roman"/>
                <w:color w:val="auto"/>
                <w:highlight w:val="none"/>
              </w:rPr>
            </w:pPr>
            <w:r>
              <w:rPr>
                <w:rFonts w:ascii="Times New Roman" w:hAnsi="Times New Roman" w:cs="Times New Roman"/>
                <w:color w:val="auto"/>
                <w:highlight w:val="none"/>
              </w:rPr>
              <w:t>（2）投标人的资质等级符合第二章“投标人须知前附表”附录1规定；</w:t>
            </w:r>
          </w:p>
          <w:p w14:paraId="0BDE36C6">
            <w:pPr>
              <w:jc w:val="left"/>
              <w:rPr>
                <w:rFonts w:ascii="Times New Roman" w:hAnsi="Times New Roman" w:cs="Times New Roman"/>
                <w:color w:val="auto"/>
                <w:highlight w:val="none"/>
              </w:rPr>
            </w:pPr>
            <w:r>
              <w:rPr>
                <w:rFonts w:ascii="Times New Roman" w:hAnsi="Times New Roman" w:cs="Times New Roman"/>
                <w:color w:val="auto"/>
                <w:highlight w:val="none"/>
              </w:rPr>
              <w:t>（3）投标人的类似项目业绩符合第二章“投标人须知前附表”附录2规定；</w:t>
            </w:r>
          </w:p>
          <w:p w14:paraId="7D1DFDD6">
            <w:pPr>
              <w:jc w:val="left"/>
              <w:rPr>
                <w:rFonts w:ascii="Times New Roman" w:hAnsi="Times New Roman" w:cs="Times New Roman"/>
                <w:color w:val="auto"/>
                <w:highlight w:val="none"/>
              </w:rPr>
            </w:pPr>
            <w:r>
              <w:rPr>
                <w:rFonts w:ascii="Times New Roman" w:hAnsi="Times New Roman" w:cs="Times New Roman"/>
                <w:color w:val="auto"/>
                <w:highlight w:val="none"/>
              </w:rPr>
              <w:t>（4）投标人的信誉符合第二章“投标人须知前附表”附录3规定；</w:t>
            </w:r>
          </w:p>
          <w:p w14:paraId="5DDC3BAB">
            <w:pPr>
              <w:jc w:val="left"/>
              <w:rPr>
                <w:rFonts w:ascii="Times New Roman" w:hAnsi="Times New Roman" w:cs="Times New Roman"/>
                <w:color w:val="auto"/>
                <w:highlight w:val="none"/>
              </w:rPr>
            </w:pPr>
            <w:r>
              <w:rPr>
                <w:rFonts w:ascii="Times New Roman" w:hAnsi="Times New Roman" w:cs="Times New Roman"/>
                <w:color w:val="auto"/>
                <w:highlight w:val="none"/>
              </w:rPr>
              <w:t>（5）投标人的总监理工程师在岗情况符合第二章“投标人须知前附表”附录4规定；</w:t>
            </w:r>
          </w:p>
          <w:p w14:paraId="34B9E6E7">
            <w:pPr>
              <w:jc w:val="left"/>
              <w:rPr>
                <w:rFonts w:ascii="Times New Roman" w:hAnsi="Times New Roman" w:cs="Times New Roman"/>
                <w:color w:val="auto"/>
                <w:highlight w:val="none"/>
              </w:rPr>
            </w:pPr>
            <w:r>
              <w:rPr>
                <w:rFonts w:ascii="Times New Roman" w:hAnsi="Times New Roman" w:cs="Times New Roman"/>
                <w:color w:val="auto"/>
                <w:highlight w:val="none"/>
              </w:rPr>
              <w:t>（6）投标人的其他要求符合招标文件的规定；</w:t>
            </w:r>
          </w:p>
          <w:p w14:paraId="40F5F66E">
            <w:pPr>
              <w:jc w:val="left"/>
              <w:rPr>
                <w:rFonts w:ascii="Times New Roman" w:hAnsi="Times New Roman" w:cs="Times New Roman"/>
                <w:color w:val="auto"/>
                <w:highlight w:val="none"/>
              </w:rPr>
            </w:pPr>
            <w:r>
              <w:rPr>
                <w:rFonts w:ascii="Times New Roman" w:hAnsi="Times New Roman" w:cs="Times New Roman"/>
                <w:color w:val="auto"/>
                <w:highlight w:val="none"/>
              </w:rPr>
              <w:t>（7）投标人不存在第二章“投标人须知”第1.4.3项或第1.4.4项规定的任何一种情形；</w:t>
            </w:r>
          </w:p>
        </w:tc>
      </w:tr>
      <w:tr w14:paraId="0715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808" w:type="dxa"/>
            <w:gridSpan w:val="5"/>
            <w:vAlign w:val="center"/>
          </w:tcPr>
          <w:p w14:paraId="13114E02">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bookmarkStart w:id="0" w:name="_GoBack" w:colFirst="0" w:colLast="5"/>
            <w:r>
              <w:rPr>
                <w:rFonts w:ascii="Times New Roman" w:hAnsi="Times New Roman" w:cs="Times New Roman"/>
                <w:b/>
                <w:bCs/>
                <w:color w:val="auto"/>
                <w:szCs w:val="21"/>
                <w:highlight w:val="none"/>
              </w:rPr>
              <w:t>条款号</w:t>
            </w:r>
          </w:p>
        </w:tc>
        <w:tc>
          <w:tcPr>
            <w:tcW w:w="2059" w:type="dxa"/>
            <w:gridSpan w:val="2"/>
            <w:vAlign w:val="center"/>
          </w:tcPr>
          <w:p w14:paraId="0665D69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r>
              <w:rPr>
                <w:rFonts w:ascii="Times New Roman" w:hAnsi="Times New Roman" w:cs="Times New Roman"/>
                <w:b/>
                <w:bCs/>
                <w:color w:val="auto"/>
                <w:szCs w:val="21"/>
                <w:highlight w:val="none"/>
              </w:rPr>
              <w:t>条款内容</w:t>
            </w:r>
          </w:p>
        </w:tc>
        <w:tc>
          <w:tcPr>
            <w:tcW w:w="5313" w:type="dxa"/>
            <w:gridSpan w:val="3"/>
            <w:vAlign w:val="center"/>
          </w:tcPr>
          <w:p w14:paraId="006229E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ascii="Times New Roman" w:hAnsi="Times New Roman" w:cs="Times New Roman"/>
                <w:color w:val="auto"/>
                <w:szCs w:val="21"/>
                <w:highlight w:val="none"/>
              </w:rPr>
            </w:pPr>
            <w:r>
              <w:rPr>
                <w:rFonts w:ascii="Times New Roman" w:hAnsi="Times New Roman" w:cs="Times New Roman"/>
                <w:b/>
                <w:bCs/>
                <w:color w:val="auto"/>
                <w:szCs w:val="21"/>
                <w:highlight w:val="none"/>
              </w:rPr>
              <w:t>编列内容</w:t>
            </w:r>
          </w:p>
        </w:tc>
      </w:tr>
      <w:bookmarkEnd w:id="0"/>
      <w:tr w14:paraId="2056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1808" w:type="dxa"/>
            <w:gridSpan w:val="5"/>
            <w:vAlign w:val="center"/>
          </w:tcPr>
          <w:p w14:paraId="55CA5AF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2.2.1</w:t>
            </w:r>
          </w:p>
        </w:tc>
        <w:tc>
          <w:tcPr>
            <w:tcW w:w="2059" w:type="dxa"/>
            <w:gridSpan w:val="2"/>
            <w:vAlign w:val="center"/>
          </w:tcPr>
          <w:p w14:paraId="3D937F5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分值构成</w:t>
            </w:r>
          </w:p>
          <w:p w14:paraId="3FE7A75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(总分100分 ）</w:t>
            </w:r>
          </w:p>
        </w:tc>
        <w:tc>
          <w:tcPr>
            <w:tcW w:w="5313" w:type="dxa"/>
            <w:gridSpan w:val="3"/>
            <w:vAlign w:val="center"/>
          </w:tcPr>
          <w:p w14:paraId="382F1BC9">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第一个信封（商务及技术文件）评分分值构成：</w:t>
            </w:r>
          </w:p>
          <w:p w14:paraId="5F6B4ECA">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技术建议书：</w:t>
            </w:r>
            <w:r>
              <w:rPr>
                <w:rFonts w:hint="eastAsia" w:ascii="仿宋" w:hAnsi="仿宋" w:eastAsia="仿宋" w:cs="仿宋"/>
                <w:color w:val="auto"/>
                <w:sz w:val="28"/>
                <w:szCs w:val="28"/>
                <w:highlight w:val="none"/>
                <w:u w:val="single"/>
              </w:rPr>
              <w:t xml:space="preserve"> 3</w:t>
            </w:r>
            <w:r>
              <w:rPr>
                <w:rFonts w:hint="eastAsia" w:ascii="仿宋" w:hAnsi="仿宋" w:eastAsia="仿宋" w:cs="仿宋"/>
                <w:color w:val="auto"/>
                <w:sz w:val="28"/>
                <w:szCs w:val="28"/>
                <w:highlight w:val="none"/>
                <w:u w:val="single"/>
                <w:lang w:val="en-US" w:eastAsia="zh-CN"/>
              </w:rPr>
              <w:t>4</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w:t>
            </w:r>
          </w:p>
          <w:p w14:paraId="4E31ABE3">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主要人员：</w:t>
            </w:r>
            <w:r>
              <w:rPr>
                <w:rFonts w:hint="eastAsia" w:ascii="仿宋" w:hAnsi="仿宋" w:eastAsia="仿宋" w:cs="仿宋"/>
                <w:color w:val="auto"/>
                <w:sz w:val="28"/>
                <w:szCs w:val="28"/>
                <w:highlight w:val="none"/>
                <w:u w:val="single"/>
              </w:rPr>
              <w:t xml:space="preserve">  25  </w:t>
            </w:r>
            <w:r>
              <w:rPr>
                <w:rFonts w:hint="eastAsia" w:ascii="仿宋" w:hAnsi="仿宋" w:eastAsia="仿宋" w:cs="仿宋"/>
                <w:color w:val="auto"/>
                <w:sz w:val="28"/>
                <w:szCs w:val="28"/>
                <w:highlight w:val="none"/>
              </w:rPr>
              <w:t>分</w:t>
            </w:r>
          </w:p>
          <w:p w14:paraId="3DBBBC20">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r>
              <w:rPr>
                <w:rFonts w:hint="eastAsia" w:ascii="仿宋" w:hAnsi="仿宋" w:eastAsia="仿宋" w:cs="仿宋"/>
                <w:color w:val="auto"/>
                <w:sz w:val="28"/>
                <w:szCs w:val="28"/>
                <w:highlight w:val="none"/>
                <w:u w:val="single"/>
              </w:rPr>
              <w:t xml:space="preserve"> 25 </w:t>
            </w:r>
            <w:r>
              <w:rPr>
                <w:rFonts w:hint="eastAsia" w:ascii="仿宋" w:hAnsi="仿宋" w:eastAsia="仿宋" w:cs="仿宋"/>
                <w:color w:val="auto"/>
                <w:sz w:val="28"/>
                <w:szCs w:val="28"/>
                <w:highlight w:val="none"/>
              </w:rPr>
              <w:t>分</w:t>
            </w:r>
          </w:p>
          <w:p w14:paraId="69546BFF">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履约信誉：</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u w:val="single"/>
                <w:lang w:val="en-US" w:eastAsia="zh-CN"/>
              </w:rPr>
              <w:t>6</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分</w:t>
            </w:r>
          </w:p>
          <w:p w14:paraId="48BE8BA7">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第二个信封（报价文件）评分分值构成：</w:t>
            </w:r>
          </w:p>
          <w:p w14:paraId="62F619DE">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评标价：</w:t>
            </w:r>
            <w:r>
              <w:rPr>
                <w:rFonts w:hint="eastAsia" w:ascii="仿宋" w:hAnsi="仿宋" w:eastAsia="仿宋" w:cs="仿宋"/>
                <w:color w:val="auto"/>
                <w:sz w:val="28"/>
                <w:szCs w:val="28"/>
                <w:highlight w:val="none"/>
                <w:u w:val="single"/>
              </w:rPr>
              <w:t xml:space="preserve">  10  </w:t>
            </w:r>
            <w:r>
              <w:rPr>
                <w:rFonts w:hint="eastAsia" w:ascii="仿宋" w:hAnsi="仿宋" w:eastAsia="仿宋" w:cs="仿宋"/>
                <w:color w:val="auto"/>
                <w:sz w:val="28"/>
                <w:szCs w:val="28"/>
                <w:highlight w:val="none"/>
              </w:rPr>
              <w:t>分</w:t>
            </w:r>
          </w:p>
        </w:tc>
      </w:tr>
      <w:tr w14:paraId="4DD2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08" w:type="dxa"/>
            <w:gridSpan w:val="5"/>
            <w:vAlign w:val="center"/>
          </w:tcPr>
          <w:p w14:paraId="43C18A7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2.2.2</w:t>
            </w:r>
          </w:p>
        </w:tc>
        <w:tc>
          <w:tcPr>
            <w:tcW w:w="2059" w:type="dxa"/>
            <w:gridSpan w:val="2"/>
            <w:vAlign w:val="center"/>
          </w:tcPr>
          <w:p w14:paraId="7EDF207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评标基准价计算方法</w:t>
            </w:r>
          </w:p>
        </w:tc>
        <w:tc>
          <w:tcPr>
            <w:tcW w:w="5313" w:type="dxa"/>
            <w:gridSpan w:val="3"/>
            <w:vAlign w:val="center"/>
          </w:tcPr>
          <w:p w14:paraId="52B8888A">
            <w:pPr>
              <w:widowControl/>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在开标现场，代理机构将当场计算并宣布评标基准价。 </w:t>
            </w:r>
          </w:p>
          <w:p w14:paraId="54C3E49D">
            <w:pPr>
              <w:widowControl/>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（1）评标价的确定： </w:t>
            </w:r>
          </w:p>
          <w:p w14:paraId="28302C35">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评标价＝投标函文字报价 </w:t>
            </w:r>
          </w:p>
          <w:p w14:paraId="123C8FE5">
            <w:pPr>
              <w:widowControl/>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（2）评标价平均值的计算： </w:t>
            </w:r>
          </w:p>
          <w:p w14:paraId="0ABBE566">
            <w:pPr>
              <w:widowControl/>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除按第二章“投标人须知”第 5.2.4 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 </w:t>
            </w:r>
          </w:p>
          <w:p w14:paraId="47AE0FFF">
            <w:pPr>
              <w:widowControl/>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 xml:space="preserve">（3）评标基准价的确定： </w:t>
            </w:r>
          </w:p>
          <w:p w14:paraId="11E2FCF2">
            <w:pPr>
              <w:widowControl/>
              <w:jc w:val="left"/>
              <w:rPr>
                <w:rFonts w:hint="eastAsia"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将评标价平均值直接作为评标基准价</w:t>
            </w:r>
          </w:p>
          <w:p w14:paraId="281A057D">
            <w:pPr>
              <w:ind w:firstLine="42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评标基准价保留小数点后两位，小数点后第三位“四舍五入”。</w:t>
            </w:r>
          </w:p>
        </w:tc>
      </w:tr>
      <w:tr w14:paraId="7EC66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808" w:type="dxa"/>
            <w:gridSpan w:val="5"/>
            <w:vAlign w:val="center"/>
          </w:tcPr>
          <w:p w14:paraId="644549C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2.2.3</w:t>
            </w:r>
          </w:p>
        </w:tc>
        <w:tc>
          <w:tcPr>
            <w:tcW w:w="2059" w:type="dxa"/>
            <w:gridSpan w:val="2"/>
            <w:vAlign w:val="center"/>
          </w:tcPr>
          <w:p w14:paraId="31EAEE2D">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投标报价的偏差率</w:t>
            </w:r>
          </w:p>
          <w:p w14:paraId="30321CB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计算公式</w:t>
            </w:r>
          </w:p>
        </w:tc>
        <w:tc>
          <w:tcPr>
            <w:tcW w:w="5313" w:type="dxa"/>
            <w:gridSpan w:val="3"/>
            <w:vAlign w:val="center"/>
          </w:tcPr>
          <w:p w14:paraId="4248F395">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偏差率=（Di-P）/P×100%</w:t>
            </w:r>
          </w:p>
          <w:p w14:paraId="735F27C4">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式中：Di—投标人的投标报价；</w:t>
            </w:r>
          </w:p>
          <w:p w14:paraId="6E561E19">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P—评标基准价。</w:t>
            </w:r>
          </w:p>
          <w:p w14:paraId="4853F650">
            <w:pPr>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偏差率保留2位小数</w:t>
            </w:r>
          </w:p>
        </w:tc>
      </w:tr>
      <w:tr w14:paraId="542C7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664" w:type="dxa"/>
            <w:vMerge w:val="restart"/>
            <w:vAlign w:val="center"/>
          </w:tcPr>
          <w:p w14:paraId="18BD6E45">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条款号</w:t>
            </w:r>
          </w:p>
        </w:tc>
        <w:tc>
          <w:tcPr>
            <w:tcW w:w="4900" w:type="dxa"/>
            <w:gridSpan w:val="8"/>
            <w:vAlign w:val="center"/>
          </w:tcPr>
          <w:p w14:paraId="43DC7B8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评分因素与权重分值</w:t>
            </w:r>
          </w:p>
        </w:tc>
        <w:tc>
          <w:tcPr>
            <w:tcW w:w="3616" w:type="dxa"/>
            <w:vMerge w:val="restart"/>
            <w:vAlign w:val="center"/>
          </w:tcPr>
          <w:p w14:paraId="03FB2C30">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评分标准</w:t>
            </w:r>
          </w:p>
        </w:tc>
      </w:tr>
      <w:tr w14:paraId="0BD66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4" w:type="dxa"/>
            <w:vMerge w:val="continue"/>
            <w:vAlign w:val="center"/>
          </w:tcPr>
          <w:p w14:paraId="38EC904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p>
        </w:tc>
        <w:tc>
          <w:tcPr>
            <w:tcW w:w="1004" w:type="dxa"/>
            <w:gridSpan w:val="3"/>
            <w:vAlign w:val="center"/>
          </w:tcPr>
          <w:p w14:paraId="51014A8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评分</w:t>
            </w:r>
          </w:p>
          <w:p w14:paraId="4C31EFA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因素</w:t>
            </w:r>
          </w:p>
        </w:tc>
        <w:tc>
          <w:tcPr>
            <w:tcW w:w="696" w:type="dxa"/>
            <w:gridSpan w:val="2"/>
            <w:vAlign w:val="center"/>
          </w:tcPr>
          <w:p w14:paraId="2C97379C">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评分因素权重分值</w:t>
            </w:r>
          </w:p>
        </w:tc>
        <w:tc>
          <w:tcPr>
            <w:tcW w:w="2053" w:type="dxa"/>
            <w:gridSpan w:val="2"/>
            <w:vAlign w:val="center"/>
          </w:tcPr>
          <w:p w14:paraId="284FEF66">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各评分因素细分项</w:t>
            </w:r>
          </w:p>
        </w:tc>
        <w:tc>
          <w:tcPr>
            <w:tcW w:w="1147" w:type="dxa"/>
            <w:vAlign w:val="center"/>
          </w:tcPr>
          <w:p w14:paraId="435936FF">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分值</w:t>
            </w:r>
          </w:p>
        </w:tc>
        <w:tc>
          <w:tcPr>
            <w:tcW w:w="3616" w:type="dxa"/>
            <w:vMerge w:val="continue"/>
            <w:vAlign w:val="center"/>
          </w:tcPr>
          <w:p w14:paraId="46E2FFAC">
            <w:pPr>
              <w:jc w:val="center"/>
              <w:rPr>
                <w:rFonts w:hint="eastAsia" w:ascii="仿宋" w:hAnsi="仿宋" w:eastAsia="仿宋" w:cs="仿宋"/>
                <w:b/>
                <w:color w:val="auto"/>
                <w:sz w:val="28"/>
                <w:szCs w:val="28"/>
                <w:highlight w:val="none"/>
              </w:rPr>
            </w:pPr>
          </w:p>
        </w:tc>
      </w:tr>
      <w:tr w14:paraId="652C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restart"/>
            <w:vAlign w:val="center"/>
          </w:tcPr>
          <w:p w14:paraId="5DB9A3E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w:t>
            </w:r>
          </w:p>
          <w:p w14:paraId="7A642304">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w:t>
            </w:r>
          </w:p>
        </w:tc>
        <w:tc>
          <w:tcPr>
            <w:tcW w:w="1004" w:type="dxa"/>
            <w:gridSpan w:val="3"/>
            <w:vMerge w:val="restart"/>
            <w:vAlign w:val="center"/>
          </w:tcPr>
          <w:p w14:paraId="5D1E606C">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技术建议书</w:t>
            </w:r>
          </w:p>
        </w:tc>
        <w:tc>
          <w:tcPr>
            <w:tcW w:w="696" w:type="dxa"/>
            <w:gridSpan w:val="2"/>
            <w:vMerge w:val="restart"/>
            <w:vAlign w:val="center"/>
          </w:tcPr>
          <w:p w14:paraId="11768033">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tc>
        <w:tc>
          <w:tcPr>
            <w:tcW w:w="2053" w:type="dxa"/>
            <w:gridSpan w:val="2"/>
            <w:shd w:val="clear" w:color="auto" w:fill="auto"/>
            <w:vAlign w:val="center"/>
          </w:tcPr>
          <w:p w14:paraId="37C8C11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监理大纲及措施</w:t>
            </w:r>
          </w:p>
        </w:tc>
        <w:tc>
          <w:tcPr>
            <w:tcW w:w="1147" w:type="dxa"/>
            <w:shd w:val="clear" w:color="auto" w:fill="auto"/>
            <w:vAlign w:val="center"/>
          </w:tcPr>
          <w:p w14:paraId="1D3CB6D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5分</w:t>
            </w:r>
          </w:p>
        </w:tc>
        <w:tc>
          <w:tcPr>
            <w:tcW w:w="3616" w:type="dxa"/>
            <w:shd w:val="clear" w:color="auto" w:fill="auto"/>
            <w:vAlign w:val="center"/>
          </w:tcPr>
          <w:p w14:paraId="571E9E2C">
            <w:pPr>
              <w:keepNext w:val="0"/>
              <w:keepLines w:val="0"/>
              <w:widowControl/>
              <w:suppressLineNumbers w:val="0"/>
              <w:jc w:val="left"/>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监理大纲和措施制定得当有序、合理可行得3～5分，基本合理可行得1～3分。</w:t>
            </w:r>
          </w:p>
        </w:tc>
      </w:tr>
      <w:tr w14:paraId="7A37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continue"/>
            <w:vAlign w:val="center"/>
          </w:tcPr>
          <w:p w14:paraId="5202518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1004" w:type="dxa"/>
            <w:gridSpan w:val="3"/>
            <w:vMerge w:val="continue"/>
            <w:vAlign w:val="center"/>
          </w:tcPr>
          <w:p w14:paraId="23DD40E1">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696" w:type="dxa"/>
            <w:gridSpan w:val="2"/>
            <w:vMerge w:val="continue"/>
            <w:vAlign w:val="center"/>
          </w:tcPr>
          <w:p w14:paraId="49AFB4E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2053" w:type="dxa"/>
            <w:gridSpan w:val="2"/>
            <w:shd w:val="clear" w:color="auto" w:fill="auto"/>
            <w:vAlign w:val="center"/>
          </w:tcPr>
          <w:p w14:paraId="5E443846">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主要监理工作范围</w:t>
            </w:r>
          </w:p>
        </w:tc>
        <w:tc>
          <w:tcPr>
            <w:tcW w:w="1147" w:type="dxa"/>
            <w:shd w:val="clear" w:color="auto" w:fill="auto"/>
            <w:vAlign w:val="center"/>
          </w:tcPr>
          <w:p w14:paraId="2AA0787E">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tc>
        <w:tc>
          <w:tcPr>
            <w:tcW w:w="3616" w:type="dxa"/>
            <w:shd w:val="clear" w:color="auto" w:fill="auto"/>
            <w:vAlign w:val="center"/>
          </w:tcPr>
          <w:p w14:paraId="765B814F">
            <w:pPr>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rPr>
              <w:t>工作安排及人员职责明确、可行得</w:t>
            </w:r>
            <w:r>
              <w:rPr>
                <w:rFonts w:hint="eastAsia" w:ascii="仿宋" w:hAnsi="仿宋" w:eastAsia="仿宋" w:cs="仿宋"/>
                <w:i w:val="0"/>
                <w:iCs w:val="0"/>
                <w:color w:val="auto"/>
                <w:kern w:val="0"/>
                <w:sz w:val="28"/>
                <w:szCs w:val="28"/>
                <w:highlight w:val="none"/>
                <w:u w:val="none"/>
                <w:lang w:val="en-US" w:eastAsia="zh-CN" w:bidi="ar"/>
              </w:rPr>
              <w:t>3～5</w:t>
            </w:r>
            <w:r>
              <w:rPr>
                <w:rFonts w:hint="eastAsia" w:ascii="仿宋" w:hAnsi="仿宋" w:eastAsia="仿宋" w:cs="仿宋"/>
                <w:color w:val="auto"/>
                <w:sz w:val="28"/>
                <w:szCs w:val="28"/>
                <w:highlight w:val="none"/>
              </w:rPr>
              <w:t>分，基本明确、可行得</w:t>
            </w:r>
            <w:r>
              <w:rPr>
                <w:rFonts w:hint="eastAsia" w:ascii="仿宋" w:hAnsi="仿宋" w:eastAsia="仿宋" w:cs="仿宋"/>
                <w:i w:val="0"/>
                <w:iCs w:val="0"/>
                <w:color w:val="auto"/>
                <w:kern w:val="0"/>
                <w:sz w:val="28"/>
                <w:szCs w:val="28"/>
                <w:highlight w:val="none"/>
                <w:u w:val="none"/>
                <w:lang w:val="en-US" w:eastAsia="zh-CN" w:bidi="ar"/>
              </w:rPr>
              <w:t>1～3</w:t>
            </w:r>
            <w:r>
              <w:rPr>
                <w:rFonts w:hint="eastAsia" w:ascii="仿宋" w:hAnsi="仿宋" w:eastAsia="仿宋" w:cs="仿宋"/>
                <w:color w:val="auto"/>
                <w:sz w:val="28"/>
                <w:szCs w:val="28"/>
                <w:highlight w:val="none"/>
              </w:rPr>
              <w:t>分。</w:t>
            </w:r>
          </w:p>
        </w:tc>
      </w:tr>
      <w:tr w14:paraId="1776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continue"/>
            <w:vAlign w:val="center"/>
          </w:tcPr>
          <w:p w14:paraId="3F9F39AE">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1004" w:type="dxa"/>
            <w:gridSpan w:val="3"/>
            <w:vMerge w:val="continue"/>
            <w:vAlign w:val="center"/>
          </w:tcPr>
          <w:p w14:paraId="539CB0E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696" w:type="dxa"/>
            <w:gridSpan w:val="2"/>
            <w:vMerge w:val="continue"/>
            <w:vAlign w:val="center"/>
          </w:tcPr>
          <w:p w14:paraId="7589FE3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2053" w:type="dxa"/>
            <w:gridSpan w:val="2"/>
            <w:shd w:val="clear" w:color="auto" w:fill="auto"/>
            <w:vAlign w:val="center"/>
          </w:tcPr>
          <w:p w14:paraId="2635DCA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rPr>
              <w:t>监理服务机构和程序</w:t>
            </w:r>
          </w:p>
        </w:tc>
        <w:tc>
          <w:tcPr>
            <w:tcW w:w="1147" w:type="dxa"/>
            <w:shd w:val="clear" w:color="auto" w:fill="auto"/>
            <w:vAlign w:val="center"/>
          </w:tcPr>
          <w:p w14:paraId="55225625">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w:t>
            </w:r>
          </w:p>
        </w:tc>
        <w:tc>
          <w:tcPr>
            <w:tcW w:w="3616" w:type="dxa"/>
            <w:shd w:val="clear" w:color="auto" w:fill="auto"/>
            <w:vAlign w:val="center"/>
          </w:tcPr>
          <w:p w14:paraId="0EA13403">
            <w:pP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sz w:val="28"/>
                <w:szCs w:val="28"/>
                <w:highlight w:val="none"/>
              </w:rPr>
              <w:t>监理服务程序条理清晰、可行得</w:t>
            </w:r>
            <w:r>
              <w:rPr>
                <w:rFonts w:hint="eastAsia" w:ascii="仿宋" w:hAnsi="仿宋" w:eastAsia="仿宋" w:cs="仿宋"/>
                <w:i w:val="0"/>
                <w:iCs w:val="0"/>
                <w:color w:val="auto"/>
                <w:kern w:val="0"/>
                <w:sz w:val="28"/>
                <w:szCs w:val="28"/>
                <w:highlight w:val="none"/>
                <w:u w:val="none"/>
                <w:lang w:val="en-US" w:eastAsia="zh-CN" w:bidi="ar"/>
              </w:rPr>
              <w:t>3～5</w:t>
            </w:r>
            <w:r>
              <w:rPr>
                <w:rFonts w:hint="eastAsia" w:ascii="仿宋" w:hAnsi="仿宋" w:eastAsia="仿宋" w:cs="仿宋"/>
                <w:sz w:val="28"/>
                <w:szCs w:val="28"/>
                <w:highlight w:val="none"/>
              </w:rPr>
              <w:t>分，基本清晰、可行得</w:t>
            </w:r>
            <w:r>
              <w:rPr>
                <w:rFonts w:hint="eastAsia" w:ascii="仿宋" w:hAnsi="仿宋" w:eastAsia="仿宋" w:cs="仿宋"/>
                <w:i w:val="0"/>
                <w:iCs w:val="0"/>
                <w:color w:val="auto"/>
                <w:kern w:val="0"/>
                <w:sz w:val="28"/>
                <w:szCs w:val="28"/>
                <w:highlight w:val="none"/>
                <w:u w:val="none"/>
                <w:lang w:val="en-US" w:eastAsia="zh-CN" w:bidi="ar"/>
              </w:rPr>
              <w:t>1～3</w:t>
            </w:r>
            <w:r>
              <w:rPr>
                <w:rFonts w:hint="eastAsia" w:ascii="仿宋" w:hAnsi="仿宋" w:eastAsia="仿宋" w:cs="仿宋"/>
                <w:sz w:val="28"/>
                <w:szCs w:val="28"/>
                <w:highlight w:val="none"/>
              </w:rPr>
              <w:t>分。</w:t>
            </w:r>
          </w:p>
        </w:tc>
      </w:tr>
      <w:tr w14:paraId="39EB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continue"/>
            <w:vAlign w:val="center"/>
          </w:tcPr>
          <w:p w14:paraId="31FF0E8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1004" w:type="dxa"/>
            <w:gridSpan w:val="3"/>
            <w:vMerge w:val="continue"/>
            <w:vAlign w:val="center"/>
          </w:tcPr>
          <w:p w14:paraId="1243077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696" w:type="dxa"/>
            <w:gridSpan w:val="2"/>
            <w:vMerge w:val="continue"/>
            <w:vAlign w:val="center"/>
          </w:tcPr>
          <w:p w14:paraId="64B3144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2053" w:type="dxa"/>
            <w:gridSpan w:val="2"/>
            <w:shd w:val="clear" w:color="auto" w:fill="auto"/>
            <w:vAlign w:val="center"/>
          </w:tcPr>
          <w:p w14:paraId="169E3B7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质量控制、安全、环境管理</w:t>
            </w:r>
          </w:p>
        </w:tc>
        <w:tc>
          <w:tcPr>
            <w:tcW w:w="1147" w:type="dxa"/>
            <w:shd w:val="clear" w:color="auto" w:fill="auto"/>
            <w:vAlign w:val="center"/>
          </w:tcPr>
          <w:p w14:paraId="0CC23152">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tc>
        <w:tc>
          <w:tcPr>
            <w:tcW w:w="3616" w:type="dxa"/>
            <w:shd w:val="clear" w:color="auto" w:fill="auto"/>
            <w:vAlign w:val="center"/>
          </w:tcPr>
          <w:p w14:paraId="237DAC75">
            <w:pPr>
              <w:jc w:val="left"/>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质量控制办法和管理办法得力、可行得3～5分，基本得力、可行得1～3分。</w:t>
            </w:r>
          </w:p>
        </w:tc>
      </w:tr>
      <w:tr w14:paraId="09C3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continue"/>
            <w:vAlign w:val="center"/>
          </w:tcPr>
          <w:p w14:paraId="7D1C0BB0">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1004" w:type="dxa"/>
            <w:gridSpan w:val="3"/>
            <w:vMerge w:val="continue"/>
            <w:vAlign w:val="center"/>
          </w:tcPr>
          <w:p w14:paraId="42B7864F">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696" w:type="dxa"/>
            <w:gridSpan w:val="2"/>
            <w:vMerge w:val="continue"/>
            <w:vAlign w:val="center"/>
          </w:tcPr>
          <w:p w14:paraId="7742A38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2053" w:type="dxa"/>
            <w:gridSpan w:val="2"/>
            <w:shd w:val="clear" w:color="auto" w:fill="auto"/>
            <w:vAlign w:val="center"/>
          </w:tcPr>
          <w:p w14:paraId="48E11DBD">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铁路营业线施工专项监理管控方案</w:t>
            </w:r>
          </w:p>
        </w:tc>
        <w:tc>
          <w:tcPr>
            <w:tcW w:w="1147" w:type="dxa"/>
            <w:shd w:val="clear" w:color="auto" w:fill="auto"/>
            <w:vAlign w:val="center"/>
          </w:tcPr>
          <w:p w14:paraId="3556D708">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tc>
        <w:tc>
          <w:tcPr>
            <w:tcW w:w="3616" w:type="dxa"/>
            <w:shd w:val="clear" w:color="auto" w:fill="auto"/>
            <w:vAlign w:val="center"/>
          </w:tcPr>
          <w:p w14:paraId="30529D11">
            <w:pPr>
              <w:keepNext w:val="0"/>
              <w:keepLines w:val="0"/>
              <w:widowControl/>
              <w:suppressLineNumbers w:val="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针对本项目转体桥上跨宝成铁路、路堑上跨徐兰高铁两大涉铁工点的专项监理方案贴合工程实际，管控措施精准可落地，完全符合铁路营业线施工监管要求得3～5分，方案基本完整、措施基本可行得1～3分。</w:t>
            </w:r>
          </w:p>
        </w:tc>
      </w:tr>
      <w:tr w14:paraId="2132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continue"/>
            <w:vAlign w:val="center"/>
          </w:tcPr>
          <w:p w14:paraId="2B12A8BB">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1004" w:type="dxa"/>
            <w:gridSpan w:val="3"/>
            <w:vMerge w:val="continue"/>
            <w:vAlign w:val="center"/>
          </w:tcPr>
          <w:p w14:paraId="12CA414A">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696" w:type="dxa"/>
            <w:gridSpan w:val="2"/>
            <w:vMerge w:val="continue"/>
            <w:vAlign w:val="center"/>
          </w:tcPr>
          <w:p w14:paraId="1BF62BE7">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2053" w:type="dxa"/>
            <w:gridSpan w:val="2"/>
            <w:shd w:val="clear" w:color="auto" w:fill="auto"/>
            <w:vAlign w:val="center"/>
          </w:tcPr>
          <w:p w14:paraId="2F14EE82">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对本工程重点、难点分析</w:t>
            </w:r>
          </w:p>
        </w:tc>
        <w:tc>
          <w:tcPr>
            <w:tcW w:w="1147" w:type="dxa"/>
            <w:shd w:val="clear" w:color="auto" w:fill="auto"/>
            <w:vAlign w:val="center"/>
          </w:tcPr>
          <w:p w14:paraId="2A1D5E83">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p>
        </w:tc>
        <w:tc>
          <w:tcPr>
            <w:tcW w:w="3616" w:type="dxa"/>
            <w:shd w:val="clear" w:color="auto" w:fill="auto"/>
            <w:vAlign w:val="center"/>
          </w:tcPr>
          <w:p w14:paraId="3E27C499">
            <w:pPr>
              <w:keepNext w:val="0"/>
              <w:keepLines w:val="0"/>
              <w:widowControl/>
              <w:suppressLineNumbers w:val="0"/>
              <w:jc w:val="left"/>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重点、难点分析突出、鲜明，紧扣项目涉铁核心特点得3～5分，重点、难点分析一般得1～3分。</w:t>
            </w:r>
          </w:p>
        </w:tc>
      </w:tr>
      <w:tr w14:paraId="7B652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4" w:type="dxa"/>
            <w:vMerge w:val="continue"/>
            <w:vAlign w:val="center"/>
          </w:tcPr>
          <w:p w14:paraId="7FF6DD39">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1004" w:type="dxa"/>
            <w:gridSpan w:val="3"/>
            <w:vMerge w:val="continue"/>
            <w:vAlign w:val="center"/>
          </w:tcPr>
          <w:p w14:paraId="7229C47D">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696" w:type="dxa"/>
            <w:gridSpan w:val="2"/>
            <w:vMerge w:val="continue"/>
            <w:vAlign w:val="center"/>
          </w:tcPr>
          <w:p w14:paraId="40BF4CA8">
            <w:pPr>
              <w:keepNext w:val="0"/>
              <w:keepLines w:val="0"/>
              <w:pageBreakBefore w:val="0"/>
              <w:widowControl/>
              <w:kinsoku w:val="0"/>
              <w:wordWrap/>
              <w:overflowPunct/>
              <w:topLinePunct w:val="0"/>
              <w:autoSpaceDE w:val="0"/>
              <w:autoSpaceDN w:val="0"/>
              <w:bidi w:val="0"/>
              <w:adjustRightInd w:val="0"/>
              <w:snapToGrid w:val="0"/>
              <w:ind w:firstLine="0" w:firstLineChars="0"/>
              <w:jc w:val="center"/>
              <w:rPr>
                <w:rFonts w:hint="eastAsia" w:ascii="仿宋" w:hAnsi="仿宋" w:eastAsia="仿宋" w:cs="仿宋"/>
                <w:color w:val="auto"/>
                <w:sz w:val="28"/>
                <w:szCs w:val="28"/>
                <w:highlight w:val="none"/>
              </w:rPr>
            </w:pPr>
          </w:p>
        </w:tc>
        <w:tc>
          <w:tcPr>
            <w:tcW w:w="2053" w:type="dxa"/>
            <w:gridSpan w:val="2"/>
            <w:shd w:val="clear" w:color="auto" w:fill="auto"/>
            <w:vAlign w:val="center"/>
          </w:tcPr>
          <w:p w14:paraId="6AAB066B">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对本工程的建议</w:t>
            </w:r>
          </w:p>
        </w:tc>
        <w:tc>
          <w:tcPr>
            <w:tcW w:w="1147" w:type="dxa"/>
            <w:shd w:val="clear" w:color="auto" w:fill="auto"/>
            <w:vAlign w:val="center"/>
          </w:tcPr>
          <w:p w14:paraId="1CFD8815">
            <w:pPr>
              <w:keepNext w:val="0"/>
              <w:keepLines w:val="0"/>
              <w:pageBreakBefore w:val="0"/>
              <w:widowControl/>
              <w:suppressLineNumbers w:val="0"/>
              <w:kinsoku w:val="0"/>
              <w:wordWrap/>
              <w:overflowPunct/>
              <w:topLinePunct w:val="0"/>
              <w:autoSpaceDE w:val="0"/>
              <w:autoSpaceDN w:val="0"/>
              <w:bidi w:val="0"/>
              <w:adjustRightInd w:val="0"/>
              <w:snapToGrid w:val="0"/>
              <w:ind w:firstLine="0" w:firstLineChars="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分</w:t>
            </w:r>
          </w:p>
        </w:tc>
        <w:tc>
          <w:tcPr>
            <w:tcW w:w="3616" w:type="dxa"/>
            <w:shd w:val="clear" w:color="auto" w:fill="auto"/>
            <w:vAlign w:val="center"/>
          </w:tcPr>
          <w:p w14:paraId="3908CA35">
            <w:pPr>
              <w:keepNext w:val="0"/>
              <w:keepLines w:val="0"/>
              <w:widowControl/>
              <w:suppressLineNumbers w:val="0"/>
              <w:jc w:val="left"/>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建议合理、得当，贴合本项目属性得2～4分，建议一般得1～2分。</w:t>
            </w:r>
          </w:p>
        </w:tc>
      </w:tr>
      <w:tr w14:paraId="40F0F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4" w:type="dxa"/>
            <w:vAlign w:val="center"/>
          </w:tcPr>
          <w:p w14:paraId="170535A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p>
          <w:p w14:paraId="5800DB1A">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2.2.4（2）</w:t>
            </w:r>
          </w:p>
        </w:tc>
        <w:tc>
          <w:tcPr>
            <w:tcW w:w="1004" w:type="dxa"/>
            <w:gridSpan w:val="3"/>
            <w:vAlign w:val="center"/>
          </w:tcPr>
          <w:p w14:paraId="6035387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主要人员</w:t>
            </w:r>
          </w:p>
        </w:tc>
        <w:tc>
          <w:tcPr>
            <w:tcW w:w="696" w:type="dxa"/>
            <w:gridSpan w:val="2"/>
            <w:vAlign w:val="center"/>
          </w:tcPr>
          <w:p w14:paraId="2F8995A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25分</w:t>
            </w:r>
          </w:p>
        </w:tc>
        <w:tc>
          <w:tcPr>
            <w:tcW w:w="2053" w:type="dxa"/>
            <w:gridSpan w:val="2"/>
            <w:vAlign w:val="center"/>
          </w:tcPr>
          <w:p w14:paraId="1AACADE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总监理工程师</w:t>
            </w:r>
          </w:p>
        </w:tc>
        <w:tc>
          <w:tcPr>
            <w:tcW w:w="4763" w:type="dxa"/>
            <w:gridSpan w:val="2"/>
            <w:vAlign w:val="center"/>
          </w:tcPr>
          <w:p w14:paraId="3182E876">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通</w:t>
            </w:r>
            <w:r>
              <w:rPr>
                <w:rFonts w:hint="eastAsia" w:ascii="仿宋" w:hAnsi="仿宋" w:eastAsia="仿宋" w:cs="仿宋"/>
                <w:color w:val="auto"/>
                <w:sz w:val="28"/>
                <w:szCs w:val="28"/>
                <w:highlight w:val="none"/>
              </w:rPr>
              <w:t>过资格评审即得1</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在满足业绩最低要求的基础上：</w:t>
            </w:r>
          </w:p>
          <w:p w14:paraId="50C1D474">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每增加</w:t>
            </w:r>
            <w:r>
              <w:rPr>
                <w:rFonts w:hint="eastAsia" w:ascii="仿宋" w:hAnsi="仿宋" w:eastAsia="仿宋" w:cs="仿宋"/>
                <w:color w:val="auto"/>
                <w:sz w:val="28"/>
                <w:szCs w:val="28"/>
                <w:highlight w:val="none"/>
                <w:lang w:val="en-US" w:eastAsia="zh-CN"/>
              </w:rPr>
              <w:t>1个</w:t>
            </w:r>
            <w:r>
              <w:rPr>
                <w:rFonts w:hint="eastAsia" w:ascii="仿宋" w:hAnsi="仿宋" w:eastAsia="仿宋" w:cs="仿宋"/>
                <w:color w:val="auto"/>
                <w:sz w:val="28"/>
                <w:szCs w:val="28"/>
                <w:highlight w:val="none"/>
                <w:lang w:eastAsia="zh-CN"/>
              </w:rPr>
              <w:t>铁路营业线</w:t>
            </w:r>
            <w:r>
              <w:rPr>
                <w:rFonts w:hint="eastAsia" w:ascii="仿宋" w:hAnsi="仿宋" w:eastAsia="仿宋" w:cs="仿宋"/>
                <w:color w:val="auto"/>
                <w:sz w:val="28"/>
                <w:szCs w:val="28"/>
                <w:highlight w:val="none"/>
              </w:rPr>
              <w:t>（或邻近</w:t>
            </w:r>
            <w:r>
              <w:rPr>
                <w:rFonts w:hint="eastAsia" w:ascii="仿宋" w:hAnsi="仿宋" w:eastAsia="仿宋" w:cs="仿宋"/>
                <w:color w:val="auto"/>
                <w:sz w:val="28"/>
                <w:szCs w:val="28"/>
                <w:highlight w:val="none"/>
                <w:lang w:eastAsia="zh-CN"/>
              </w:rPr>
              <w:t>铁路营业线</w:t>
            </w:r>
            <w:r>
              <w:rPr>
                <w:rFonts w:hint="eastAsia" w:ascii="仿宋" w:hAnsi="仿宋" w:eastAsia="仿宋" w:cs="仿宋"/>
                <w:color w:val="auto"/>
                <w:sz w:val="28"/>
                <w:szCs w:val="28"/>
                <w:highlight w:val="none"/>
              </w:rPr>
              <w:t>）工程施工监理合同段总监理工程师任职业绩加5分；本项最多加</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分。</w:t>
            </w:r>
            <w:r>
              <w:rPr>
                <w:rFonts w:hint="eastAsia" w:ascii="仿宋" w:hAnsi="仿宋" w:eastAsia="仿宋" w:cs="仿宋"/>
                <w:color w:val="auto"/>
                <w:sz w:val="28"/>
                <w:szCs w:val="28"/>
                <w:highlight w:val="none"/>
                <w:lang w:val="en-US" w:eastAsia="zh-CN"/>
              </w:rPr>
              <w:t>（附合同协议书）</w:t>
            </w:r>
          </w:p>
          <w:p w14:paraId="774368DC">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2、具有10年及以上年限工作经验加5分（工作年限以监理工程师证书颁发时间为准）</w:t>
            </w:r>
          </w:p>
          <w:p w14:paraId="26A7CA70">
            <w:pPr>
              <w:rPr>
                <w:rFonts w:hint="eastAsia" w:ascii="仿宋" w:hAnsi="仿宋" w:eastAsia="仿宋" w:cs="仿宋"/>
                <w:b/>
                <w:bCs/>
                <w:color w:val="auto"/>
                <w:sz w:val="28"/>
                <w:szCs w:val="28"/>
                <w:highlight w:val="none"/>
              </w:rPr>
            </w:pPr>
            <w:r>
              <w:rPr>
                <w:rFonts w:hint="eastAsia" w:ascii="仿宋" w:hAnsi="仿宋" w:eastAsia="仿宋" w:cs="仿宋"/>
                <w:color w:val="auto"/>
                <w:sz w:val="28"/>
                <w:szCs w:val="28"/>
                <w:highlight w:val="none"/>
                <w:lang w:val="en-US" w:eastAsia="zh-CN"/>
              </w:rPr>
              <w:t>注：</w:t>
            </w:r>
            <w:r>
              <w:rPr>
                <w:rFonts w:hint="eastAsia" w:ascii="仿宋" w:hAnsi="仿宋" w:eastAsia="仿宋" w:cs="仿宋"/>
                <w:color w:val="auto"/>
                <w:sz w:val="28"/>
                <w:szCs w:val="28"/>
                <w:highlight w:val="none"/>
              </w:rPr>
              <w:t>企业业绩与总监理工程师业绩的同一业绩不重复计分。</w:t>
            </w:r>
          </w:p>
        </w:tc>
      </w:tr>
      <w:tr w14:paraId="4AAB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64" w:type="dxa"/>
            <w:vAlign w:val="center"/>
          </w:tcPr>
          <w:p w14:paraId="1AA06C34">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2.2.4（3）</w:t>
            </w:r>
          </w:p>
        </w:tc>
        <w:tc>
          <w:tcPr>
            <w:tcW w:w="1004" w:type="dxa"/>
            <w:gridSpan w:val="3"/>
            <w:vAlign w:val="center"/>
          </w:tcPr>
          <w:p w14:paraId="36C35C6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评标价</w:t>
            </w:r>
          </w:p>
        </w:tc>
        <w:tc>
          <w:tcPr>
            <w:tcW w:w="696" w:type="dxa"/>
            <w:gridSpan w:val="2"/>
            <w:vAlign w:val="center"/>
          </w:tcPr>
          <w:p w14:paraId="60D34153">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10分</w:t>
            </w:r>
          </w:p>
        </w:tc>
        <w:tc>
          <w:tcPr>
            <w:tcW w:w="6816" w:type="dxa"/>
            <w:gridSpan w:val="4"/>
            <w:vAlign w:val="center"/>
          </w:tcPr>
          <w:p w14:paraId="125C0EF0">
            <w:pPr>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评标价得分计算公式示例： </w:t>
            </w:r>
          </w:p>
          <w:p w14:paraId="59D15659">
            <w:pPr>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(1)如果投标人的评标价&gt;评标基准价，则评标价得分＝10－偏差率×100× E1； </w:t>
            </w:r>
          </w:p>
          <w:p w14:paraId="757080FF">
            <w:pPr>
              <w:snapToGrid w:val="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(2)如果投标人的评标价≤评标基准价，则评标价得分＝10＋偏差率× 100× E2。 </w:t>
            </w:r>
          </w:p>
          <w:p w14:paraId="0755854B">
            <w:pPr>
              <w:widowControl w:val="0"/>
              <w:autoSpaceDE w:val="0"/>
              <w:autoSpaceDN w:val="0"/>
              <w:adjustRightInd w:val="0"/>
              <w:spacing w:line="240" w:lineRule="auto"/>
              <w:ind w:firstLine="162" w:firstLineChars="50"/>
              <w:jc w:val="both"/>
              <w:textAlignment w:val="baseline"/>
              <w:rPr>
                <w:rFonts w:hint="eastAsia" w:ascii="仿宋" w:hAnsi="仿宋" w:eastAsia="仿宋" w:cs="仿宋"/>
                <w:color w:val="auto"/>
                <w:spacing w:val="22"/>
                <w:kern w:val="0"/>
                <w:sz w:val="28"/>
                <w:szCs w:val="28"/>
                <w:highlight w:val="none"/>
                <w:lang w:val="en-US" w:eastAsia="zh-CN" w:bidi="ar-SA"/>
              </w:rPr>
            </w:pPr>
            <w:r>
              <w:rPr>
                <w:rFonts w:hint="eastAsia" w:ascii="仿宋" w:hAnsi="仿宋" w:eastAsia="仿宋" w:cs="仿宋"/>
                <w:color w:val="auto"/>
                <w:spacing w:val="22"/>
                <w:kern w:val="2"/>
                <w:sz w:val="28"/>
                <w:szCs w:val="28"/>
                <w:highlight w:val="none"/>
                <w:lang w:val="en-US" w:eastAsia="zh-CN" w:bidi="ar-SA"/>
              </w:rPr>
              <w:t>其中：其中：E</w:t>
            </w:r>
            <w:r>
              <w:rPr>
                <w:rFonts w:hint="eastAsia" w:ascii="仿宋" w:hAnsi="仿宋" w:eastAsia="仿宋" w:cs="仿宋"/>
                <w:color w:val="auto"/>
                <w:spacing w:val="22"/>
                <w:kern w:val="0"/>
                <w:sz w:val="28"/>
                <w:szCs w:val="28"/>
                <w:highlight w:val="none"/>
                <w:vertAlign w:val="subscript"/>
                <w:lang w:val="en-US" w:eastAsia="zh-CN" w:bidi="ar-SA"/>
              </w:rPr>
              <w:t>1</w:t>
            </w:r>
            <w:r>
              <w:rPr>
                <w:rFonts w:hint="eastAsia" w:ascii="仿宋" w:hAnsi="仿宋" w:eastAsia="仿宋" w:cs="仿宋"/>
                <w:color w:val="auto"/>
                <w:spacing w:val="22"/>
                <w:kern w:val="2"/>
                <w:sz w:val="28"/>
                <w:szCs w:val="28"/>
                <w:highlight w:val="none"/>
                <w:lang w:val="en-US" w:eastAsia="zh-CN" w:bidi="ar-SA"/>
              </w:rPr>
              <w:t>=0.2，是评标价每高于评标基准价一个百分点的扣分值；E</w:t>
            </w:r>
            <w:r>
              <w:rPr>
                <w:rFonts w:hint="eastAsia" w:ascii="仿宋" w:hAnsi="仿宋" w:eastAsia="仿宋" w:cs="仿宋"/>
                <w:color w:val="auto"/>
                <w:spacing w:val="22"/>
                <w:kern w:val="0"/>
                <w:sz w:val="28"/>
                <w:szCs w:val="28"/>
                <w:highlight w:val="none"/>
                <w:vertAlign w:val="subscript"/>
                <w:lang w:val="en-US" w:eastAsia="zh-CN" w:bidi="ar-SA"/>
              </w:rPr>
              <w:t>2</w:t>
            </w:r>
            <w:r>
              <w:rPr>
                <w:rFonts w:hint="eastAsia" w:ascii="仿宋" w:hAnsi="仿宋" w:eastAsia="仿宋" w:cs="仿宋"/>
                <w:color w:val="auto"/>
                <w:spacing w:val="22"/>
                <w:kern w:val="2"/>
                <w:sz w:val="28"/>
                <w:szCs w:val="28"/>
                <w:highlight w:val="none"/>
                <w:lang w:val="en-US" w:eastAsia="zh-CN" w:bidi="ar-SA"/>
              </w:rPr>
              <w:t>=0.1，是评标价每低于评标基准价一个百分点的扣分值；评标价得分分值保留小数点后两位，小数点后第三位“四舍五入”；评标价得分最低为0分。</w:t>
            </w:r>
          </w:p>
        </w:tc>
      </w:tr>
      <w:tr w14:paraId="48B5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664" w:type="dxa"/>
            <w:vMerge w:val="restart"/>
            <w:vAlign w:val="center"/>
          </w:tcPr>
          <w:p w14:paraId="6B2E141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2.2.4（4）</w:t>
            </w:r>
          </w:p>
        </w:tc>
        <w:tc>
          <w:tcPr>
            <w:tcW w:w="1004" w:type="dxa"/>
            <w:gridSpan w:val="3"/>
            <w:vAlign w:val="center"/>
          </w:tcPr>
          <w:p w14:paraId="52CC75D8">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业绩</w:t>
            </w:r>
          </w:p>
        </w:tc>
        <w:tc>
          <w:tcPr>
            <w:tcW w:w="696" w:type="dxa"/>
            <w:gridSpan w:val="2"/>
            <w:vAlign w:val="center"/>
          </w:tcPr>
          <w:p w14:paraId="6D11BB31">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25分</w:t>
            </w:r>
          </w:p>
        </w:tc>
        <w:tc>
          <w:tcPr>
            <w:tcW w:w="6816" w:type="dxa"/>
            <w:gridSpan w:val="4"/>
            <w:vAlign w:val="center"/>
          </w:tcPr>
          <w:p w14:paraId="4B8C23D3">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通过资格评审即得15分。</w:t>
            </w:r>
          </w:p>
          <w:p w14:paraId="4104994A">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满足资格审查条件之外，2021年1月至投标截止时间，每增加1个铁路营业线（或邻近铁路营业线）工程施工监理业绩加5分，最多加10分。（附合同协议书）</w:t>
            </w:r>
          </w:p>
          <w:p w14:paraId="0AF7C633">
            <w:pPr>
              <w:numPr>
                <w:ilvl w:val="0"/>
                <w:numId w:val="0"/>
              </w:num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注：企业业绩与总监理工程师业绩的同一业绩不重复计分。</w:t>
            </w:r>
          </w:p>
          <w:p w14:paraId="0E86271F">
            <w:pPr>
              <w:numPr>
                <w:ilvl w:val="0"/>
                <w:numId w:val="0"/>
              </w:num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说明：业绩的完成和时间要求以交工日期为准。</w:t>
            </w:r>
          </w:p>
        </w:tc>
      </w:tr>
      <w:tr w14:paraId="0A3F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64" w:type="dxa"/>
            <w:vMerge w:val="continue"/>
            <w:vAlign w:val="center"/>
          </w:tcPr>
          <w:p w14:paraId="394784EA">
            <w:pPr>
              <w:jc w:val="center"/>
              <w:rPr>
                <w:rFonts w:hint="eastAsia" w:ascii="仿宋" w:hAnsi="仿宋" w:eastAsia="仿宋" w:cs="仿宋"/>
                <w:color w:val="auto"/>
                <w:sz w:val="28"/>
                <w:szCs w:val="28"/>
                <w:highlight w:val="none"/>
              </w:rPr>
            </w:pPr>
          </w:p>
        </w:tc>
        <w:tc>
          <w:tcPr>
            <w:tcW w:w="1004" w:type="dxa"/>
            <w:gridSpan w:val="3"/>
            <w:vAlign w:val="center"/>
          </w:tcPr>
          <w:p w14:paraId="1D4C18F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履约</w:t>
            </w:r>
          </w:p>
          <w:p w14:paraId="618EC97B">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信誉</w:t>
            </w:r>
          </w:p>
        </w:tc>
        <w:tc>
          <w:tcPr>
            <w:tcW w:w="696" w:type="dxa"/>
            <w:gridSpan w:val="2"/>
            <w:vAlign w:val="center"/>
          </w:tcPr>
          <w:p w14:paraId="2126887E">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rPr>
              <w:t>分</w:t>
            </w:r>
          </w:p>
        </w:tc>
        <w:tc>
          <w:tcPr>
            <w:tcW w:w="6816" w:type="dxa"/>
            <w:gridSpan w:val="4"/>
            <w:vAlign w:val="center"/>
          </w:tcPr>
          <w:p w14:paraId="0DAC9E06">
            <w:pPr>
              <w:widowControl/>
              <w:autoSpaceDE/>
              <w:autoSpaceDN/>
              <w:adjustRightInd/>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具有有效的质量管理体系、环境管理体系、职业健康安全管理体系认证证书，每1个得2分，最多得6分。（提供证书复印件加盖单位公章）</w:t>
            </w:r>
          </w:p>
        </w:tc>
      </w:tr>
      <w:tr w14:paraId="4FFD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9180" w:type="dxa"/>
            <w:gridSpan w:val="10"/>
            <w:vAlign w:val="center"/>
          </w:tcPr>
          <w:p w14:paraId="2433D571">
            <w:pPr>
              <w:widowControl w:val="0"/>
              <w:autoSpaceDE w:val="0"/>
              <w:autoSpaceDN w:val="0"/>
              <w:adjustRightInd w:val="0"/>
              <w:spacing w:line="240" w:lineRule="auto"/>
              <w:ind w:right="120" w:firstLine="75" w:firstLineChars="23"/>
              <w:jc w:val="left"/>
              <w:textAlignment w:val="baseline"/>
              <w:rPr>
                <w:rFonts w:hint="eastAsia" w:ascii="仿宋" w:hAnsi="仿宋" w:eastAsia="仿宋" w:cs="仿宋"/>
                <w:b/>
                <w:bCs/>
                <w:color w:val="auto"/>
                <w:spacing w:val="22"/>
                <w:kern w:val="0"/>
                <w:sz w:val="28"/>
                <w:szCs w:val="28"/>
                <w:highlight w:val="none"/>
                <w:lang w:val="en-US" w:eastAsia="zh-CN" w:bidi="ar-SA"/>
              </w:rPr>
            </w:pPr>
            <w:r>
              <w:rPr>
                <w:rFonts w:hint="eastAsia" w:ascii="仿宋" w:hAnsi="仿宋" w:eastAsia="仿宋" w:cs="仿宋"/>
                <w:b/>
                <w:color w:val="auto"/>
                <w:spacing w:val="22"/>
                <w:kern w:val="0"/>
                <w:sz w:val="28"/>
                <w:szCs w:val="28"/>
                <w:highlight w:val="none"/>
                <w:lang w:val="en-US" w:eastAsia="zh-CN" w:bidi="ar-SA"/>
              </w:rPr>
              <w:t>需补充的其他内容：</w:t>
            </w:r>
          </w:p>
        </w:tc>
      </w:tr>
      <w:tr w14:paraId="3026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64" w:type="dxa"/>
            <w:vAlign w:val="center"/>
          </w:tcPr>
          <w:p w14:paraId="614703D7">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jc w:val="center"/>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3.9.2</w:t>
            </w:r>
          </w:p>
        </w:tc>
        <w:tc>
          <w:tcPr>
            <w:tcW w:w="998" w:type="dxa"/>
            <w:gridSpan w:val="2"/>
            <w:vAlign w:val="center"/>
          </w:tcPr>
          <w:p w14:paraId="0FCCFD50">
            <w:pPr>
              <w:keepNext w:val="0"/>
              <w:keepLines w:val="0"/>
              <w:pageBreakBefore w:val="0"/>
              <w:widowControl/>
              <w:kinsoku w:val="0"/>
              <w:wordWrap/>
              <w:overflowPunct/>
              <w:topLinePunct w:val="0"/>
              <w:autoSpaceDE w:val="0"/>
              <w:autoSpaceDN w:val="0"/>
              <w:bidi w:val="0"/>
              <w:adjustRightInd w:val="0"/>
              <w:snapToGrid w:val="0"/>
              <w:spacing w:line="560" w:lineRule="exact"/>
              <w:ind w:firstLine="0" w:firstLineChars="0"/>
              <w:textAlignment w:val="baseline"/>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评标报告应载明的内容</w:t>
            </w:r>
          </w:p>
        </w:tc>
        <w:tc>
          <w:tcPr>
            <w:tcW w:w="7518" w:type="dxa"/>
            <w:gridSpan w:val="7"/>
            <w:vAlign w:val="center"/>
          </w:tcPr>
          <w:p w14:paraId="7B900B28">
            <w:pPr>
              <w:snapToGrid w:val="0"/>
              <w:spacing w:line="3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评标委员会审定评标结果后，向招标人提交书面报告。评标报告应如实记载下列内容：</w:t>
            </w:r>
          </w:p>
          <w:p w14:paraId="6CA2F4E6">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招标项目基本情况</w:t>
            </w:r>
          </w:p>
          <w:p w14:paraId="454E55AC">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评标委员会成员名单</w:t>
            </w:r>
          </w:p>
          <w:p w14:paraId="7825EC9A">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监督人员名单</w:t>
            </w:r>
          </w:p>
          <w:p w14:paraId="53CB8AF8">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开标记录</w:t>
            </w:r>
          </w:p>
          <w:p w14:paraId="58DDB514">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符合要求的投标人名单</w:t>
            </w:r>
          </w:p>
          <w:p w14:paraId="005E54A1">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否决的投标人名单以及否决理由</w:t>
            </w:r>
          </w:p>
          <w:p w14:paraId="5C0C5359">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串通投标情形的评审情况说明</w:t>
            </w:r>
          </w:p>
          <w:p w14:paraId="65E47C88">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评分情况</w:t>
            </w:r>
          </w:p>
          <w:p w14:paraId="56843B6D">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经评审的投标人排序</w:t>
            </w:r>
          </w:p>
          <w:p w14:paraId="69BB0787">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中标候选人名单</w:t>
            </w:r>
          </w:p>
          <w:p w14:paraId="47BE2525">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澄清、说明事项纪要</w:t>
            </w:r>
          </w:p>
          <w:p w14:paraId="7BDED7BE">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需要说明的其他事项</w:t>
            </w:r>
          </w:p>
          <w:p w14:paraId="0FA5853A">
            <w:pPr>
              <w:numPr>
                <w:ilvl w:val="0"/>
                <w:numId w:val="2"/>
              </w:numPr>
              <w:autoSpaceDE/>
              <w:autoSpaceDN/>
              <w:adjustRightInd/>
              <w:snapToGrid w:val="0"/>
              <w:spacing w:line="320" w:lineRule="exact"/>
              <w:ind w:left="0" w:firstLine="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评标附表</w:t>
            </w:r>
          </w:p>
          <w:p w14:paraId="531FBF54">
            <w:pPr>
              <w:snapToGrid w:val="0"/>
              <w:spacing w:line="3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附件1监理招标评标办法</w:t>
            </w:r>
          </w:p>
          <w:p w14:paraId="5091C8CC">
            <w:pPr>
              <w:snapToGrid w:val="0"/>
              <w:spacing w:line="3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附件2评标委员会成员名单</w:t>
            </w:r>
          </w:p>
          <w:p w14:paraId="310DC62F">
            <w:pPr>
              <w:snapToGrid w:val="0"/>
              <w:spacing w:line="3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附件3开标记录表</w:t>
            </w:r>
          </w:p>
          <w:p w14:paraId="7FA29C3D">
            <w:pPr>
              <w:snapToGrid w:val="0"/>
              <w:spacing w:line="32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附件4评审表</w:t>
            </w:r>
          </w:p>
        </w:tc>
      </w:tr>
    </w:tbl>
    <w:p w14:paraId="67622617">
      <w:pPr>
        <w:bidi w:val="0"/>
        <w:rPr>
          <w:rFonts w:hint="eastAsia"/>
        </w:rPr>
      </w:pPr>
      <w:r>
        <w:rPr>
          <w:rFonts w:hint="eastAsia"/>
        </w:rPr>
        <w:t>1.评标方法</w:t>
      </w:r>
    </w:p>
    <w:p w14:paraId="5DD0D5C5">
      <w:pPr>
        <w:bidi w:val="0"/>
        <w:rPr>
          <w:rFonts w:hint="eastAsia"/>
        </w:rPr>
      </w:pPr>
      <w:r>
        <w:rPr>
          <w:rFonts w:hint="eastAsia"/>
        </w:rPr>
        <w:t>本次评标采用综合评估法。评标委员会对满足招标文件实质性要求并满足形式评审、响应性评审标准的投标文件，按规定评分标准进行打分，并按综合得分由高到低顺序推介中标候选人，但投标报价低于成本的除外。当综合评分相等时，按投标报价的得分依次排序。</w:t>
      </w:r>
    </w:p>
    <w:p w14:paraId="43CEE859">
      <w:pPr>
        <w:bidi w:val="0"/>
        <w:rPr>
          <w:rFonts w:hint="eastAsia"/>
        </w:rPr>
      </w:pPr>
      <w:r>
        <w:rPr>
          <w:rFonts w:hint="eastAsia"/>
        </w:rPr>
        <w:t>2.评审标准</w:t>
      </w:r>
    </w:p>
    <w:p w14:paraId="1800ABD1">
      <w:pPr>
        <w:bidi w:val="0"/>
        <w:rPr>
          <w:rFonts w:hint="eastAsia"/>
        </w:rPr>
      </w:pPr>
      <w:r>
        <w:rPr>
          <w:rFonts w:hint="eastAsia"/>
        </w:rPr>
        <w:t>2.1初步评审标准</w:t>
      </w:r>
    </w:p>
    <w:p w14:paraId="5593B40C">
      <w:pPr>
        <w:bidi w:val="0"/>
        <w:rPr>
          <w:rFonts w:hint="eastAsia"/>
        </w:rPr>
      </w:pPr>
      <w:r>
        <w:rPr>
          <w:rFonts w:hint="eastAsia"/>
        </w:rPr>
        <w:t>2.1.1形式评审标准：见评标办法前附表。</w:t>
      </w:r>
    </w:p>
    <w:p w14:paraId="32804B4A">
      <w:pPr>
        <w:bidi w:val="0"/>
        <w:rPr>
          <w:rFonts w:hint="eastAsia"/>
        </w:rPr>
      </w:pPr>
      <w:r>
        <w:rPr>
          <w:rFonts w:hint="eastAsia"/>
        </w:rPr>
        <w:t>2.1.2资格评审标准：见评标办法前附表。</w:t>
      </w:r>
    </w:p>
    <w:p w14:paraId="6DCC56B4">
      <w:pPr>
        <w:bidi w:val="0"/>
        <w:rPr>
          <w:rFonts w:hint="eastAsia"/>
        </w:rPr>
      </w:pPr>
      <w:r>
        <w:rPr>
          <w:rFonts w:hint="eastAsia"/>
        </w:rPr>
        <w:t>2.1.3响应性评审标准：见评标办法前附表</w:t>
      </w:r>
    </w:p>
    <w:p w14:paraId="3D59DB00">
      <w:pPr>
        <w:bidi w:val="0"/>
        <w:rPr>
          <w:rFonts w:hint="eastAsia"/>
        </w:rPr>
      </w:pPr>
      <w:r>
        <w:rPr>
          <w:rFonts w:hint="eastAsia"/>
        </w:rPr>
        <w:t>2.2分值构成与评分标准</w:t>
      </w:r>
    </w:p>
    <w:p w14:paraId="1ADF24C5">
      <w:pPr>
        <w:bidi w:val="0"/>
        <w:rPr>
          <w:rFonts w:hint="eastAsia"/>
        </w:rPr>
      </w:pPr>
      <w:r>
        <w:rPr>
          <w:rFonts w:hint="eastAsia"/>
        </w:rPr>
        <w:t>2.2.1分值构成</w:t>
      </w:r>
    </w:p>
    <w:p w14:paraId="16F67326">
      <w:pPr>
        <w:bidi w:val="0"/>
        <w:rPr>
          <w:rFonts w:hint="eastAsia"/>
        </w:rPr>
      </w:pPr>
      <w:r>
        <w:rPr>
          <w:rFonts w:hint="eastAsia"/>
        </w:rPr>
        <w:t>（1）技术建议书：见评标办法前附表；</w:t>
      </w:r>
    </w:p>
    <w:p w14:paraId="7A3FB50A">
      <w:pPr>
        <w:bidi w:val="0"/>
        <w:rPr>
          <w:rFonts w:hint="eastAsia"/>
        </w:rPr>
      </w:pPr>
      <w:r>
        <w:rPr>
          <w:rFonts w:hint="eastAsia"/>
        </w:rPr>
        <w:t>（2）监理人员机构：见评标办法前附表；</w:t>
      </w:r>
    </w:p>
    <w:p w14:paraId="7B28C41B">
      <w:pPr>
        <w:bidi w:val="0"/>
        <w:rPr>
          <w:rFonts w:hint="eastAsia"/>
        </w:rPr>
      </w:pPr>
      <w:r>
        <w:rPr>
          <w:rFonts w:hint="eastAsia"/>
        </w:rPr>
        <w:t>（3）评标价：见评标办法前附表；</w:t>
      </w:r>
    </w:p>
    <w:p w14:paraId="0023B371">
      <w:pPr>
        <w:bidi w:val="0"/>
        <w:rPr>
          <w:rFonts w:hint="eastAsia"/>
        </w:rPr>
      </w:pPr>
      <w:r>
        <w:rPr>
          <w:rFonts w:hint="eastAsia"/>
        </w:rPr>
        <w:t>（4）其他评分因素：见评标办法前附表。</w:t>
      </w:r>
    </w:p>
    <w:p w14:paraId="041287DC">
      <w:pPr>
        <w:bidi w:val="0"/>
        <w:rPr>
          <w:rFonts w:hint="eastAsia"/>
        </w:rPr>
      </w:pPr>
      <w:r>
        <w:rPr>
          <w:rFonts w:hint="eastAsia"/>
        </w:rPr>
        <w:t>2.2.2评标基准价计算</w:t>
      </w:r>
    </w:p>
    <w:p w14:paraId="5A6255A8">
      <w:pPr>
        <w:bidi w:val="0"/>
        <w:rPr>
          <w:rFonts w:hint="eastAsia"/>
        </w:rPr>
      </w:pPr>
      <w:r>
        <w:rPr>
          <w:rFonts w:hint="eastAsia"/>
        </w:rPr>
        <w:t>评标基准价计算方法：见评标办法前附表。</w:t>
      </w:r>
    </w:p>
    <w:p w14:paraId="14B46172">
      <w:pPr>
        <w:bidi w:val="0"/>
        <w:rPr>
          <w:rFonts w:hint="eastAsia"/>
        </w:rPr>
      </w:pPr>
      <w:r>
        <w:rPr>
          <w:rFonts w:hint="eastAsia"/>
        </w:rPr>
        <w:t>2.2.3评标价的偏差率计算</w:t>
      </w:r>
    </w:p>
    <w:p w14:paraId="339E87BA">
      <w:pPr>
        <w:bidi w:val="0"/>
        <w:rPr>
          <w:rFonts w:hint="eastAsia"/>
        </w:rPr>
      </w:pPr>
      <w:r>
        <w:rPr>
          <w:rFonts w:hint="eastAsia"/>
        </w:rPr>
        <w:t>评标价的偏差率计算公式：见评标办法前附表。</w:t>
      </w:r>
    </w:p>
    <w:p w14:paraId="316071B3">
      <w:pPr>
        <w:bidi w:val="0"/>
        <w:rPr>
          <w:rFonts w:hint="eastAsia"/>
        </w:rPr>
      </w:pPr>
      <w:r>
        <w:rPr>
          <w:rFonts w:hint="eastAsia"/>
        </w:rPr>
        <w:t>2.2.4评分标准</w:t>
      </w:r>
    </w:p>
    <w:p w14:paraId="284957F2">
      <w:pPr>
        <w:bidi w:val="0"/>
        <w:rPr>
          <w:rFonts w:hint="eastAsia"/>
        </w:rPr>
      </w:pPr>
      <w:r>
        <w:rPr>
          <w:rFonts w:hint="eastAsia"/>
        </w:rPr>
        <w:t>（1）技术建议书评分标准：见评标办法前附表；</w:t>
      </w:r>
    </w:p>
    <w:p w14:paraId="5070A65A">
      <w:pPr>
        <w:bidi w:val="0"/>
        <w:rPr>
          <w:rFonts w:hint="eastAsia"/>
        </w:rPr>
      </w:pPr>
      <w:r>
        <w:rPr>
          <w:rFonts w:hint="eastAsia"/>
        </w:rPr>
        <w:t>（2）主要人员评分标准：见评标办法前附表；</w:t>
      </w:r>
    </w:p>
    <w:p w14:paraId="0F08CF5B">
      <w:pPr>
        <w:bidi w:val="0"/>
        <w:rPr>
          <w:rFonts w:hint="eastAsia"/>
        </w:rPr>
      </w:pPr>
      <w:r>
        <w:rPr>
          <w:rFonts w:hint="eastAsia"/>
        </w:rPr>
        <w:t>（3）评标价评分标准：见评标办法前附表；</w:t>
      </w:r>
    </w:p>
    <w:p w14:paraId="7BBF970C">
      <w:pPr>
        <w:bidi w:val="0"/>
        <w:rPr>
          <w:rFonts w:hint="eastAsia"/>
        </w:rPr>
      </w:pPr>
      <w:r>
        <w:rPr>
          <w:rFonts w:hint="eastAsia"/>
        </w:rPr>
        <w:t>（4）其他因素评分标准：见评标办法前附表。</w:t>
      </w:r>
    </w:p>
    <w:p w14:paraId="679D1261">
      <w:pPr>
        <w:bidi w:val="0"/>
        <w:rPr>
          <w:rFonts w:hint="eastAsia"/>
        </w:rPr>
      </w:pPr>
      <w:r>
        <w:rPr>
          <w:rFonts w:hint="eastAsia"/>
        </w:rPr>
        <w:t>3.评标程序</w:t>
      </w:r>
    </w:p>
    <w:p w14:paraId="59E32D2C">
      <w:pPr>
        <w:bidi w:val="0"/>
        <w:rPr>
          <w:rFonts w:hint="eastAsia"/>
        </w:rPr>
      </w:pPr>
      <w:r>
        <w:rPr>
          <w:rFonts w:hint="eastAsia"/>
        </w:rPr>
        <w:t>3.1第一个信封初步评审</w:t>
      </w:r>
    </w:p>
    <w:p w14:paraId="475E5520">
      <w:pPr>
        <w:bidi w:val="0"/>
        <w:rPr>
          <w:rFonts w:hint="eastAsia"/>
        </w:rPr>
      </w:pPr>
      <w:r>
        <w:rPr>
          <w:rFonts w:hint="eastAsia"/>
        </w:rPr>
        <w:t>3.1.1评标委员会可以要求投标人提交第二章“投标人须知”第3.4项规定的有关证明和证件的复印件加盖公章以便核验。评标委员会依据本章第2.1款规定的标准对投标文件第一个信封（商务及技术文件）进行初步评审。有一项不符合评审标准的，评标委员会应否决其投标。</w:t>
      </w:r>
    </w:p>
    <w:p w14:paraId="3F2156FF">
      <w:pPr>
        <w:bidi w:val="0"/>
        <w:rPr>
          <w:rFonts w:hint="eastAsia"/>
        </w:rPr>
      </w:pPr>
      <w:r>
        <w:rPr>
          <w:rFonts w:hint="eastAsia"/>
        </w:rPr>
        <w:t>3.2第一个信封详细评审</w:t>
      </w:r>
    </w:p>
    <w:p w14:paraId="0155A7F3">
      <w:pPr>
        <w:bidi w:val="0"/>
        <w:rPr>
          <w:rFonts w:hint="eastAsia"/>
        </w:rPr>
      </w:pPr>
      <w:r>
        <w:rPr>
          <w:rFonts w:hint="eastAsia"/>
        </w:rPr>
        <w:t>3.2.1评标委员会按本章第2.2款规定的量化因素和分值进行打分，并计算出各投标人的商务和技术得分。</w:t>
      </w:r>
    </w:p>
    <w:p w14:paraId="7687847E">
      <w:pPr>
        <w:bidi w:val="0"/>
        <w:rPr>
          <w:rFonts w:hint="eastAsia"/>
        </w:rPr>
      </w:pPr>
      <w:r>
        <w:rPr>
          <w:rFonts w:hint="eastAsia"/>
        </w:rPr>
        <w:t>(1)按本章第2.2.4项(1)目规定的评审因素和分值对技术建议书部分计算出得分A；</w:t>
      </w:r>
    </w:p>
    <w:p w14:paraId="161ABD51">
      <w:pPr>
        <w:bidi w:val="0"/>
        <w:rPr>
          <w:rFonts w:hint="eastAsia"/>
        </w:rPr>
      </w:pPr>
      <w:r>
        <w:rPr>
          <w:rFonts w:hint="eastAsia"/>
        </w:rPr>
        <w:t>(2)按本章第2.2.4项(2)目规定的评审因素和分值对人员计算出得分B；</w:t>
      </w:r>
    </w:p>
    <w:p w14:paraId="4C0A5AC1">
      <w:pPr>
        <w:bidi w:val="0"/>
        <w:rPr>
          <w:rFonts w:hint="eastAsia"/>
        </w:rPr>
      </w:pPr>
      <w:r>
        <w:rPr>
          <w:rFonts w:hint="eastAsia"/>
        </w:rPr>
        <w:t>(3)按本章第2.2.4项(4)目规定的评审因素和分值对其他部分计算出得分C。</w:t>
      </w:r>
    </w:p>
    <w:p w14:paraId="64A342D3">
      <w:pPr>
        <w:bidi w:val="0"/>
        <w:rPr>
          <w:rFonts w:hint="eastAsia"/>
        </w:rPr>
      </w:pPr>
      <w:r>
        <w:rPr>
          <w:rFonts w:hint="eastAsia"/>
        </w:rPr>
        <w:t>3.2.2投标人的商务和技术得分分值计算保留小数点后两位，小数点后第三位“四舍五入”。</w:t>
      </w:r>
    </w:p>
    <w:p w14:paraId="75F7346D">
      <w:pPr>
        <w:bidi w:val="0"/>
        <w:rPr>
          <w:rFonts w:hint="eastAsia"/>
        </w:rPr>
      </w:pPr>
      <w:r>
        <w:rPr>
          <w:rFonts w:hint="eastAsia"/>
        </w:rPr>
        <w:t>3.2.3投标人的商务和技术得分A+B+C。</w:t>
      </w:r>
    </w:p>
    <w:p w14:paraId="7A5CA02D">
      <w:pPr>
        <w:bidi w:val="0"/>
        <w:rPr>
          <w:rFonts w:hint="eastAsia"/>
        </w:rPr>
      </w:pPr>
      <w:r>
        <w:rPr>
          <w:rFonts w:hint="eastAsia"/>
        </w:rPr>
        <w:t>3.3第二个信封开标</w:t>
      </w:r>
    </w:p>
    <w:p w14:paraId="256E565F">
      <w:pPr>
        <w:bidi w:val="0"/>
        <w:rPr>
          <w:rFonts w:hint="eastAsia"/>
        </w:rPr>
      </w:pPr>
      <w:r>
        <w:rPr>
          <w:rFonts w:hint="eastAsia"/>
        </w:rPr>
        <w:t>第一个信封（商务及技术文件）评审结束后，招标人将按照第二章“投标人须知”第5.1款规定的时间和地点对通过投标文件第一个信封（商务及技术文件）评审的投标文件第二个信封（报价文件）进行开标。</w:t>
      </w:r>
    </w:p>
    <w:p w14:paraId="60A9F0CB">
      <w:pPr>
        <w:bidi w:val="0"/>
        <w:rPr>
          <w:rFonts w:hint="eastAsia"/>
        </w:rPr>
      </w:pPr>
      <w:r>
        <w:rPr>
          <w:rFonts w:hint="eastAsia"/>
        </w:rPr>
        <w:t>3.4第二个信封初步评审</w:t>
      </w:r>
    </w:p>
    <w:p w14:paraId="60FA6CEF">
      <w:pPr>
        <w:bidi w:val="0"/>
        <w:rPr>
          <w:rFonts w:hint="eastAsia"/>
        </w:rPr>
      </w:pPr>
      <w:r>
        <w:rPr>
          <w:rFonts w:hint="eastAsia"/>
        </w:rPr>
        <w:t>3.4.1评标委员会依据本章第2.1.1项、第2.1.3项规定的评审标准对投标文件第二个信封（报价文件）进行初步评审。有一项不符合评审标准的，评标委员会应否决其投标。</w:t>
      </w:r>
    </w:p>
    <w:p w14:paraId="3F0B6556">
      <w:pPr>
        <w:bidi w:val="0"/>
        <w:rPr>
          <w:rFonts w:hint="eastAsia"/>
        </w:rPr>
      </w:pPr>
      <w:r>
        <w:rPr>
          <w:rFonts w:hint="eastAsia"/>
        </w:rPr>
        <w:t>3.4.2投标报价有算术错误的，评标委员会按以下原则对投标报价进行修正，修正的价格经投标人书面确认后具有约束力。投标人不接受修正价格的，评标委员会应否决其投标。</w:t>
      </w:r>
    </w:p>
    <w:p w14:paraId="6CC42B34">
      <w:pPr>
        <w:bidi w:val="0"/>
        <w:rPr>
          <w:rFonts w:hint="eastAsia"/>
        </w:rPr>
      </w:pPr>
      <w:r>
        <w:rPr>
          <w:rFonts w:hint="eastAsia"/>
        </w:rPr>
        <w:t>（1）投标文件中的大写金额与小写金额不一致的，以大写金额为准；</w:t>
      </w:r>
    </w:p>
    <w:p w14:paraId="06BFCF08">
      <w:pPr>
        <w:bidi w:val="0"/>
        <w:rPr>
          <w:rFonts w:hint="eastAsia"/>
        </w:rPr>
      </w:pPr>
      <w:r>
        <w:rPr>
          <w:rFonts w:hint="eastAsia"/>
        </w:rPr>
        <w:t>（2）总价金额与依据单价计算出的结果不一致的，以单价金额为准修正总价，但单价金额小数点有明显错误的除外；</w:t>
      </w:r>
    </w:p>
    <w:p w14:paraId="33CE157D">
      <w:pPr>
        <w:bidi w:val="0"/>
        <w:rPr>
          <w:rFonts w:hint="eastAsia"/>
        </w:rPr>
      </w:pPr>
      <w:r>
        <w:rPr>
          <w:rFonts w:hint="eastAsia"/>
        </w:rPr>
        <w:t>（3）当单价与数量相乘不等于合价时，以单价计算为准，如果单价有明显的小数点位置差错，应以标出的合价为准，同时对单价予以修正；</w:t>
      </w:r>
    </w:p>
    <w:p w14:paraId="0372DE12">
      <w:pPr>
        <w:bidi w:val="0"/>
        <w:rPr>
          <w:rFonts w:hint="eastAsia"/>
        </w:rPr>
      </w:pPr>
      <w:r>
        <w:rPr>
          <w:rFonts w:hint="eastAsia"/>
        </w:rPr>
        <w:t>（4）当各子目的合价累计不等于总价时，应以各子目合价累计数为准，修正总价。</w:t>
      </w:r>
    </w:p>
    <w:p w14:paraId="777177C0">
      <w:pPr>
        <w:bidi w:val="0"/>
        <w:rPr>
          <w:rFonts w:hint="eastAsia"/>
        </w:rPr>
      </w:pPr>
      <w:r>
        <w:rPr>
          <w:rFonts w:hint="eastAsia"/>
        </w:rPr>
        <w:t>3.4.3修正后的最终投标报价若超过最高投标限价（如有），评标委员会应否决其投标。</w:t>
      </w:r>
    </w:p>
    <w:p w14:paraId="1BCA6FD0">
      <w:pPr>
        <w:bidi w:val="0"/>
        <w:rPr>
          <w:rFonts w:hint="eastAsia"/>
        </w:rPr>
      </w:pPr>
      <w:r>
        <w:rPr>
          <w:rFonts w:hint="eastAsia"/>
        </w:rPr>
        <w:t>3.4.4修正后的最终投标报价仅作为签订合同的一个依据，不参与评标价得分的计算。</w:t>
      </w:r>
    </w:p>
    <w:p w14:paraId="5200B872">
      <w:pPr>
        <w:bidi w:val="0"/>
        <w:rPr>
          <w:rFonts w:hint="eastAsia"/>
        </w:rPr>
      </w:pPr>
      <w:r>
        <w:rPr>
          <w:rFonts w:hint="eastAsia"/>
        </w:rPr>
        <w:t>3.5第二个信封详细评审</w:t>
      </w:r>
    </w:p>
    <w:p w14:paraId="578B9788">
      <w:pPr>
        <w:bidi w:val="0"/>
        <w:rPr>
          <w:rFonts w:hint="eastAsia"/>
        </w:rPr>
      </w:pPr>
      <w:r>
        <w:rPr>
          <w:rFonts w:hint="eastAsia"/>
        </w:rPr>
        <w:t>3.5.1评标委员会按本章第2.2.4项（3）目规定的评审因素和分值对评标价计算出得分D。评标价得分分值计算保留小数点后两位，小数点后第三位“四舍五入”。</w:t>
      </w:r>
    </w:p>
    <w:p w14:paraId="620746F2">
      <w:pPr>
        <w:bidi w:val="0"/>
        <w:rPr>
          <w:rFonts w:hint="eastAsia"/>
        </w:rPr>
      </w:pPr>
      <w:r>
        <w:rPr>
          <w:rFonts w:hint="eastAsia"/>
        </w:rPr>
        <w:t>3.5.2投标人综合得分=投标人的商务和技术得分＋D。</w:t>
      </w:r>
    </w:p>
    <w:p w14:paraId="26850CB7">
      <w:pPr>
        <w:bidi w:val="0"/>
        <w:rPr>
          <w:rFonts w:hint="eastAsia"/>
        </w:rPr>
      </w:pPr>
      <w:r>
        <w:rPr>
          <w:rFonts w:hint="eastAsia"/>
        </w:rPr>
        <w:t>3.5.3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48D63E53">
      <w:pPr>
        <w:bidi w:val="0"/>
        <w:rPr>
          <w:rFonts w:hint="eastAsia"/>
        </w:rPr>
      </w:pPr>
      <w:r>
        <w:rPr>
          <w:rFonts w:hint="eastAsia"/>
        </w:rPr>
        <w:t>3.6投标文件相关信息的核查</w:t>
      </w:r>
    </w:p>
    <w:p w14:paraId="0E6EEF03">
      <w:pPr>
        <w:bidi w:val="0"/>
        <w:rPr>
          <w:rFonts w:hint="eastAsia"/>
        </w:rPr>
      </w:pPr>
      <w:r>
        <w:rPr>
          <w:rFonts w:hint="eastAsia"/>
        </w:rPr>
        <w:t>3.6.1在评标过程中，评标委员会应对投标人的资质、业绩、主要人员资历和目前在岗情况信用等级等信息进行核实。若投标人的资格条件不符合招标文件规定的，评标委员会应否决其投标。</w:t>
      </w:r>
    </w:p>
    <w:p w14:paraId="0626DE37">
      <w:pPr>
        <w:bidi w:val="0"/>
        <w:rPr>
          <w:rFonts w:hint="eastAsia"/>
        </w:rPr>
      </w:pPr>
      <w:r>
        <w:rPr>
          <w:rFonts w:hint="eastAsia"/>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6C03E0D0">
      <w:pPr>
        <w:bidi w:val="0"/>
        <w:rPr>
          <w:rFonts w:hint="eastAsia"/>
        </w:rPr>
      </w:pPr>
      <w:r>
        <w:rPr>
          <w:rFonts w:hint="eastAsia"/>
        </w:rPr>
        <w:t>（1）有下列情形之一的，属于投标人相互串通投标：</w:t>
      </w:r>
    </w:p>
    <w:p w14:paraId="594526C8">
      <w:pPr>
        <w:bidi w:val="0"/>
        <w:rPr>
          <w:rFonts w:hint="eastAsia"/>
        </w:rPr>
      </w:pPr>
      <w:r>
        <w:rPr>
          <w:rFonts w:hint="eastAsia"/>
        </w:rPr>
        <w:t>a.投标人之间协商投标报价等投标文件的实质性内容；</w:t>
      </w:r>
    </w:p>
    <w:p w14:paraId="6D232377">
      <w:pPr>
        <w:bidi w:val="0"/>
        <w:rPr>
          <w:rFonts w:hint="eastAsia"/>
        </w:rPr>
      </w:pPr>
      <w:r>
        <w:rPr>
          <w:rFonts w:hint="eastAsia"/>
        </w:rPr>
        <w:t>b.投标人之间约定中标人；</w:t>
      </w:r>
    </w:p>
    <w:p w14:paraId="06CAD1FC">
      <w:pPr>
        <w:bidi w:val="0"/>
        <w:rPr>
          <w:rFonts w:hint="eastAsia"/>
        </w:rPr>
      </w:pPr>
      <w:r>
        <w:rPr>
          <w:rFonts w:hint="eastAsia"/>
        </w:rPr>
        <w:t>c.投标人之间约定部分投标人放弃投标或中标；</w:t>
      </w:r>
    </w:p>
    <w:p w14:paraId="5A9387C2">
      <w:pPr>
        <w:bidi w:val="0"/>
        <w:rPr>
          <w:rFonts w:hint="eastAsia"/>
        </w:rPr>
      </w:pPr>
      <w:r>
        <w:rPr>
          <w:rFonts w:hint="eastAsia"/>
        </w:rPr>
        <w:t>d.属于同一集团、协会、商会等组织成员的投标人按照该组织要求协同投标；</w:t>
      </w:r>
    </w:p>
    <w:p w14:paraId="48E74C9B">
      <w:pPr>
        <w:bidi w:val="0"/>
        <w:rPr>
          <w:rFonts w:hint="eastAsia"/>
        </w:rPr>
      </w:pPr>
      <w:r>
        <w:rPr>
          <w:rFonts w:hint="eastAsia"/>
        </w:rPr>
        <w:t>e.投标人之间为谋取中标或排斥特定投标人而采取的其他联合行动。</w:t>
      </w:r>
    </w:p>
    <w:p w14:paraId="70AA41B8">
      <w:pPr>
        <w:bidi w:val="0"/>
        <w:rPr>
          <w:rFonts w:hint="eastAsia"/>
        </w:rPr>
      </w:pPr>
      <w:r>
        <w:rPr>
          <w:rFonts w:hint="eastAsia"/>
        </w:rPr>
        <w:t>（2）有下列情形之一的，视为投标人相互串通投标：</w:t>
      </w:r>
    </w:p>
    <w:p w14:paraId="00548FB6">
      <w:pPr>
        <w:bidi w:val="0"/>
        <w:rPr>
          <w:rFonts w:hint="eastAsia"/>
        </w:rPr>
      </w:pPr>
      <w:r>
        <w:rPr>
          <w:rFonts w:hint="eastAsia"/>
        </w:rPr>
        <w:t>a.不同投标人的投标文件由同一单位或个人编制；</w:t>
      </w:r>
    </w:p>
    <w:p w14:paraId="64BF2FAC">
      <w:pPr>
        <w:bidi w:val="0"/>
        <w:rPr>
          <w:rFonts w:hint="eastAsia"/>
        </w:rPr>
      </w:pPr>
      <w:r>
        <w:rPr>
          <w:rFonts w:hint="eastAsia"/>
        </w:rPr>
        <w:t>b.不同投标人委托同一单位或个人办理投标事宜；</w:t>
      </w:r>
    </w:p>
    <w:p w14:paraId="7771E63C">
      <w:pPr>
        <w:bidi w:val="0"/>
        <w:rPr>
          <w:rFonts w:hint="eastAsia"/>
        </w:rPr>
      </w:pPr>
      <w:r>
        <w:rPr>
          <w:rFonts w:hint="eastAsia"/>
        </w:rPr>
        <w:t>c.不同投标人的投标文件载明的项目管理成员为同一人；</w:t>
      </w:r>
    </w:p>
    <w:p w14:paraId="7A983E3E">
      <w:pPr>
        <w:bidi w:val="0"/>
        <w:rPr>
          <w:rFonts w:hint="eastAsia"/>
        </w:rPr>
      </w:pPr>
      <w:r>
        <w:rPr>
          <w:rFonts w:hint="eastAsia"/>
        </w:rPr>
        <w:t>d.不同投标人的投标文件异常一致或投标报价呈规律性差异；</w:t>
      </w:r>
    </w:p>
    <w:p w14:paraId="0AB4F664">
      <w:pPr>
        <w:bidi w:val="0"/>
        <w:rPr>
          <w:rFonts w:hint="eastAsia"/>
        </w:rPr>
      </w:pPr>
      <w:r>
        <w:rPr>
          <w:rFonts w:hint="eastAsia"/>
        </w:rPr>
        <w:t>e.不同投标人的投标文件相互混装；</w:t>
      </w:r>
    </w:p>
    <w:p w14:paraId="7D476ADA">
      <w:pPr>
        <w:bidi w:val="0"/>
        <w:rPr>
          <w:rFonts w:hint="eastAsia"/>
        </w:rPr>
      </w:pPr>
      <w:r>
        <w:rPr>
          <w:rFonts w:hint="eastAsia"/>
        </w:rPr>
        <w:t>f.不同投标人的投标保证金从同一单位或个人的账户转出。</w:t>
      </w:r>
    </w:p>
    <w:p w14:paraId="71240317">
      <w:pPr>
        <w:bidi w:val="0"/>
        <w:rPr>
          <w:rFonts w:hint="eastAsia"/>
        </w:rPr>
      </w:pPr>
      <w:r>
        <w:rPr>
          <w:rFonts w:hint="eastAsia"/>
        </w:rPr>
        <w:t>（3）有下列情形之一的，属于招标人与投标人串通投标：</w:t>
      </w:r>
    </w:p>
    <w:p w14:paraId="7E1FF2C8">
      <w:pPr>
        <w:bidi w:val="0"/>
        <w:rPr>
          <w:rFonts w:hint="eastAsia"/>
          <w:lang w:eastAsia="zh-CN"/>
        </w:rPr>
      </w:pPr>
      <w:r>
        <w:rPr>
          <w:rFonts w:hint="eastAsia"/>
        </w:rPr>
        <w:t>a.招标人在开标前开启投标文件并将有关信息泄露给其他投标人</w:t>
      </w:r>
      <w:r>
        <w:rPr>
          <w:rFonts w:hint="eastAsia"/>
          <w:lang w:eastAsia="zh-CN"/>
        </w:rPr>
        <w:t>；</w:t>
      </w:r>
    </w:p>
    <w:p w14:paraId="380D5CE4">
      <w:pPr>
        <w:bidi w:val="0"/>
        <w:rPr>
          <w:rFonts w:hint="eastAsia"/>
        </w:rPr>
      </w:pPr>
      <w:r>
        <w:rPr>
          <w:rFonts w:hint="eastAsia"/>
        </w:rPr>
        <w:t>b.招标人直接或间接向投标人泄露标底、评标委员会成员等信息；</w:t>
      </w:r>
    </w:p>
    <w:p w14:paraId="5D600930">
      <w:pPr>
        <w:bidi w:val="0"/>
        <w:rPr>
          <w:rFonts w:hint="eastAsia"/>
        </w:rPr>
      </w:pPr>
      <w:r>
        <w:rPr>
          <w:rFonts w:hint="eastAsia"/>
        </w:rPr>
        <w:t>c.招标人明示或暗示投标人压低或抬高投标报价；</w:t>
      </w:r>
    </w:p>
    <w:p w14:paraId="14AE35F7">
      <w:pPr>
        <w:bidi w:val="0"/>
        <w:rPr>
          <w:rFonts w:hint="eastAsia"/>
        </w:rPr>
      </w:pPr>
      <w:r>
        <w:rPr>
          <w:rFonts w:hint="eastAsia"/>
        </w:rPr>
        <w:t>d.招标人授意投标人撤换、修改投标文件；</w:t>
      </w:r>
    </w:p>
    <w:p w14:paraId="15538FE5">
      <w:pPr>
        <w:bidi w:val="0"/>
        <w:rPr>
          <w:rFonts w:hint="eastAsia"/>
        </w:rPr>
      </w:pPr>
      <w:r>
        <w:rPr>
          <w:rFonts w:hint="eastAsia"/>
        </w:rPr>
        <w:t>e.招标人明示或暗示投标人为特定投标人中标提供方便；</w:t>
      </w:r>
    </w:p>
    <w:p w14:paraId="6D4A7455">
      <w:pPr>
        <w:bidi w:val="0"/>
        <w:rPr>
          <w:rFonts w:hint="eastAsia"/>
        </w:rPr>
      </w:pPr>
      <w:r>
        <w:rPr>
          <w:rFonts w:hint="eastAsia"/>
        </w:rPr>
        <w:t>f.招标人与投标人为谋求特定投标人中标而采取的其他串通行为。</w:t>
      </w:r>
    </w:p>
    <w:p w14:paraId="170C5613">
      <w:pPr>
        <w:bidi w:val="0"/>
        <w:rPr>
          <w:rFonts w:hint="eastAsia"/>
        </w:rPr>
      </w:pPr>
      <w:r>
        <w:rPr>
          <w:rFonts w:hint="eastAsia"/>
        </w:rPr>
        <w:t>（4）投标人有下列情形之一的，属于弄虚作假的行为：</w:t>
      </w:r>
    </w:p>
    <w:p w14:paraId="430E8735">
      <w:pPr>
        <w:bidi w:val="0"/>
        <w:rPr>
          <w:rFonts w:hint="eastAsia"/>
        </w:rPr>
      </w:pPr>
      <w:r>
        <w:rPr>
          <w:rFonts w:hint="eastAsia"/>
        </w:rPr>
        <w:t>a.使用通过受让或租借等方式获取的资格、资质证书投标；</w:t>
      </w:r>
    </w:p>
    <w:p w14:paraId="4BC2D782">
      <w:pPr>
        <w:bidi w:val="0"/>
        <w:rPr>
          <w:rFonts w:hint="eastAsia"/>
        </w:rPr>
      </w:pPr>
      <w:r>
        <w:rPr>
          <w:rFonts w:hint="eastAsia"/>
        </w:rPr>
        <w:t>b.使用伪造、变造的许可证件；</w:t>
      </w:r>
    </w:p>
    <w:p w14:paraId="7EEB2021">
      <w:pPr>
        <w:bidi w:val="0"/>
        <w:rPr>
          <w:rFonts w:hint="eastAsia"/>
        </w:rPr>
      </w:pPr>
      <w:r>
        <w:rPr>
          <w:rFonts w:hint="eastAsia"/>
        </w:rPr>
        <w:t>c.提供虚假的财务状况或业绩；</w:t>
      </w:r>
    </w:p>
    <w:p w14:paraId="4C326C92">
      <w:pPr>
        <w:bidi w:val="0"/>
        <w:rPr>
          <w:rFonts w:hint="eastAsia"/>
        </w:rPr>
      </w:pPr>
      <w:r>
        <w:rPr>
          <w:rFonts w:hint="eastAsia"/>
        </w:rPr>
        <w:t>d.提供虚假的项目总监理工程师或主要技术人员简历、劳动关系证明；</w:t>
      </w:r>
    </w:p>
    <w:p w14:paraId="57F8E0DD">
      <w:pPr>
        <w:bidi w:val="0"/>
        <w:rPr>
          <w:rFonts w:hint="eastAsia"/>
        </w:rPr>
      </w:pPr>
      <w:r>
        <w:rPr>
          <w:rFonts w:hint="eastAsia"/>
        </w:rPr>
        <w:t>e.提供虚假的信用状况；</w:t>
      </w:r>
    </w:p>
    <w:p w14:paraId="54528C22">
      <w:pPr>
        <w:bidi w:val="0"/>
        <w:rPr>
          <w:rFonts w:hint="eastAsia"/>
        </w:rPr>
      </w:pPr>
      <w:r>
        <w:rPr>
          <w:rFonts w:hint="eastAsia"/>
        </w:rPr>
        <w:t>f.其他弄虚作假的行为。</w:t>
      </w:r>
    </w:p>
    <w:p w14:paraId="3E13FDBA">
      <w:pPr>
        <w:bidi w:val="0"/>
        <w:rPr>
          <w:rFonts w:hint="eastAsia"/>
        </w:rPr>
      </w:pPr>
      <w:r>
        <w:rPr>
          <w:rFonts w:hint="eastAsia"/>
        </w:rPr>
        <w:t>3.7投标文件的澄清和说明</w:t>
      </w:r>
    </w:p>
    <w:p w14:paraId="5CCB6B37">
      <w:pPr>
        <w:bidi w:val="0"/>
        <w:rPr>
          <w:rFonts w:hint="eastAsia"/>
        </w:rPr>
      </w:pPr>
      <w:r>
        <w:rPr>
          <w:rFonts w:hint="eastAsia"/>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017F4879">
      <w:pPr>
        <w:bidi w:val="0"/>
        <w:rPr>
          <w:rFonts w:hint="eastAsia"/>
        </w:rPr>
      </w:pPr>
      <w:r>
        <w:rPr>
          <w:rFonts w:hint="eastAsia"/>
        </w:rPr>
        <w:t>3.7.2澄清和说明不得超出投标文件的范围或改变投标文件的实质性内容（算术性错误的修正除外）。投标人的书面澄清、说明属于投标文件的组成部分。</w:t>
      </w:r>
    </w:p>
    <w:p w14:paraId="1BE1D5FE">
      <w:pPr>
        <w:bidi w:val="0"/>
        <w:rPr>
          <w:rFonts w:hint="eastAsia"/>
        </w:rPr>
      </w:pPr>
      <w:r>
        <w:rPr>
          <w:rFonts w:hint="eastAsia"/>
        </w:rPr>
        <w:t>3.7.3评标委员会不得暗示或诱导投标人作出澄清、说明，对投标人提交的澄清、说明有疑问的，可以要求投标人进一步澄清或说明，直至满足评标委员会的要求。</w:t>
      </w:r>
    </w:p>
    <w:p w14:paraId="40F0B930">
      <w:pPr>
        <w:bidi w:val="0"/>
        <w:rPr>
          <w:rFonts w:hint="eastAsia"/>
        </w:rPr>
      </w:pPr>
      <w:r>
        <w:rPr>
          <w:rFonts w:hint="eastAsia"/>
        </w:rPr>
        <w:t>3.7.4凡超出招标文件规定的或给发包人带来未曾要求的利益的变化、偏差或其他因素在评标时不予考虑。</w:t>
      </w:r>
    </w:p>
    <w:p w14:paraId="11562934">
      <w:pPr>
        <w:bidi w:val="0"/>
        <w:rPr>
          <w:rFonts w:hint="eastAsia"/>
        </w:rPr>
      </w:pPr>
      <w:r>
        <w:rPr>
          <w:rFonts w:hint="eastAsia"/>
        </w:rPr>
        <w:t>3.8不得否决投标的情形</w:t>
      </w:r>
    </w:p>
    <w:p w14:paraId="248DB5C9">
      <w:pPr>
        <w:bidi w:val="0"/>
        <w:rPr>
          <w:rFonts w:hint="eastAsia"/>
        </w:rPr>
      </w:pPr>
      <w:r>
        <w:rPr>
          <w:rFonts w:hint="eastAsia"/>
        </w:rPr>
        <w:t>投标文件存在第二章“投标人须知”第1.12.3项所列情形的，均视为细微偏差，评标委员会不得否决投标人的投标，应按照第二章“投标人须知”第1.12.4项规定的原则处理。</w:t>
      </w:r>
    </w:p>
    <w:p w14:paraId="1F1A7353">
      <w:pPr>
        <w:bidi w:val="0"/>
        <w:rPr>
          <w:rFonts w:hint="eastAsia"/>
        </w:rPr>
      </w:pPr>
      <w:r>
        <w:rPr>
          <w:rFonts w:hint="eastAsia"/>
        </w:rPr>
        <w:t>3.9评标结果</w:t>
      </w:r>
    </w:p>
    <w:p w14:paraId="7B7ABC92">
      <w:pPr>
        <w:bidi w:val="0"/>
        <w:rPr>
          <w:rFonts w:hint="eastAsia"/>
        </w:rPr>
      </w:pPr>
      <w:r>
        <w:rPr>
          <w:rFonts w:hint="eastAsia"/>
        </w:rPr>
        <w:t>3.9.1除第二章“投标人须知”前附表授权直接确定中标人外，评标委员会按照得分由高到低的顺序推荐中标候选人，并标明排序。</w:t>
      </w:r>
    </w:p>
    <w:p w14:paraId="24F0C288">
      <w:pPr>
        <w:bidi w:val="0"/>
        <w:rPr>
          <w:rFonts w:hint="eastAsia" w:ascii="仿宋" w:hAnsi="仿宋" w:eastAsia="仿宋" w:cs="仿宋"/>
          <w:color w:val="auto"/>
          <w:szCs w:val="28"/>
          <w:highlight w:val="none"/>
        </w:rPr>
      </w:pPr>
      <w:r>
        <w:rPr>
          <w:rFonts w:hint="eastAsia"/>
        </w:rPr>
        <w:t>3.9.2评标委员会完成评标后，应向招标人提交书面评标报告。</w:t>
      </w:r>
    </w:p>
    <w:p w14:paraId="77DFB2E6">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626B4F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lang w:val="en-US" w:eastAsia="zh-CN"/>
          <w14:textFill>
            <w14:solidFill>
              <w14:schemeClr w14:val="tx1"/>
            </w14:solidFill>
          </w14:textFill>
        </w:rPr>
        <w:t>五</w:t>
      </w:r>
      <w:r>
        <w:rPr>
          <w:rFonts w:hint="eastAsia" w:ascii="黑体" w:hAnsi="黑体" w:eastAsia="黑体" w:cs="黑体"/>
          <w:b w:val="0"/>
          <w:bCs/>
          <w:color w:val="000000" w:themeColor="text1"/>
          <w:sz w:val="32"/>
          <w:szCs w:val="32"/>
          <w14:textFill>
            <w14:solidFill>
              <w14:schemeClr w14:val="tx1"/>
            </w14:solidFill>
          </w14:textFill>
        </w:rPr>
        <w:t>、招标人联系方式</w:t>
      </w:r>
    </w:p>
    <w:p w14:paraId="4CC27BED">
      <w:pPr>
        <w:bidi w:val="0"/>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招 标 人：</w:t>
      </w:r>
      <w:r>
        <w:rPr>
          <w:color w:val="000000" w:themeColor="text1"/>
          <w:lang w:val="en-US" w:eastAsia="zh-CN"/>
          <w14:textFill>
            <w14:solidFill>
              <w14:schemeClr w14:val="tx1"/>
            </w14:solidFill>
          </w14:textFill>
        </w:rPr>
        <w:t>宝鸡市综合交通建设协调服务中心</w:t>
      </w:r>
    </w:p>
    <w:p w14:paraId="35991904">
      <w:pPr>
        <w:bidi w:val="0"/>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地    址：</w:t>
      </w:r>
      <w:r>
        <w:rPr>
          <w:color w:val="000000" w:themeColor="text1"/>
          <w:lang w:val="en-US" w:eastAsia="zh-CN"/>
          <w14:textFill>
            <w14:solidFill>
              <w14:schemeClr w14:val="tx1"/>
            </w14:solidFill>
          </w14:textFill>
        </w:rPr>
        <w:t>宝鸡市金台区金台大道33号</w:t>
      </w:r>
    </w:p>
    <w:p w14:paraId="0A0A6B98">
      <w:pPr>
        <w:bidi w:val="0"/>
        <w:ind w:firstLine="560" w:firstLineChars="200"/>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邮政编码：</w:t>
      </w:r>
      <w:r>
        <w:rPr>
          <w:rFonts w:hint="eastAsia"/>
          <w:color w:val="000000" w:themeColor="text1"/>
          <w:lang w:val="en-US" w:eastAsia="zh-CN"/>
          <w14:textFill>
            <w14:solidFill>
              <w14:schemeClr w14:val="tx1"/>
            </w14:solidFill>
          </w14:textFill>
        </w:rPr>
        <w:t>721000</w:t>
      </w:r>
    </w:p>
    <w:p w14:paraId="3B5221BF">
      <w:pPr>
        <w:bidi w:val="0"/>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联 系 人：</w:t>
      </w:r>
      <w:r>
        <w:rPr>
          <w:rFonts w:hint="eastAsia"/>
          <w:color w:val="000000" w:themeColor="text1"/>
          <w:lang w:val="en-US" w:eastAsia="zh-CN"/>
          <w14:textFill>
            <w14:solidFill>
              <w14:schemeClr w14:val="tx1"/>
            </w14:solidFill>
          </w14:textFill>
        </w:rPr>
        <w:t>郭先生</w:t>
      </w:r>
    </w:p>
    <w:p w14:paraId="17494D8D">
      <w:pPr>
        <w:bidi w:val="0"/>
        <w:ind w:firstLine="56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电    话：</w:t>
      </w:r>
      <w:r>
        <w:rPr>
          <w:color w:val="000000" w:themeColor="text1"/>
          <w:lang w:val="en-US" w:eastAsia="zh-CN"/>
          <w14:textFill>
            <w14:solidFill>
              <w14:schemeClr w14:val="tx1"/>
            </w14:solidFill>
          </w14:textFill>
        </w:rPr>
        <w:t>0917-3</w:t>
      </w:r>
      <w:r>
        <w:rPr>
          <w:rFonts w:hint="eastAsia"/>
          <w:color w:val="000000" w:themeColor="text1"/>
          <w:lang w:val="en-US" w:eastAsia="zh-CN"/>
          <w14:textFill>
            <w14:solidFill>
              <w14:schemeClr w14:val="tx1"/>
            </w14:solidFill>
          </w14:textFill>
        </w:rPr>
        <w:t>806322</w:t>
      </w:r>
    </w:p>
    <w:p w14:paraId="53484678">
      <w:pPr>
        <w:bidi w:val="0"/>
        <w:ind w:firstLine="560" w:firstLineChars="200"/>
        <w:rPr>
          <w:rFonts w:hint="eastAsia"/>
          <w:color w:val="000000" w:themeColor="text1"/>
          <w:lang w:val="en-US" w:eastAsia="zh-CN"/>
          <w14:textFill>
            <w14:solidFill>
              <w14:schemeClr w14:val="tx1"/>
            </w14:solidFill>
          </w14:textFill>
        </w:rPr>
      </w:pPr>
      <w:r>
        <w:rPr>
          <w:color w:val="000000" w:themeColor="text1"/>
          <w14:textFill>
            <w14:solidFill>
              <w14:schemeClr w14:val="tx1"/>
            </w14:solidFill>
          </w14:textFill>
        </w:rPr>
        <w:t>邮    箱：</w:t>
      </w:r>
      <w:r>
        <w:rPr>
          <w:rFonts w:hint="eastAsia"/>
          <w:color w:val="000000" w:themeColor="text1"/>
          <w:lang w:val="en-US" w:eastAsia="zh-CN"/>
          <w14:textFill>
            <w14:solidFill>
              <w14:schemeClr w14:val="tx1"/>
            </w14:solidFill>
          </w14:textFill>
        </w:rPr>
        <w:t>/</w:t>
      </w:r>
    </w:p>
    <w:p w14:paraId="58FF6DA1">
      <w:pPr>
        <w:pStyle w:val="4"/>
        <w:spacing w:line="261" w:lineRule="auto"/>
        <w:rPr>
          <w:color w:val="000000" w:themeColor="text1"/>
          <w14:textFill>
            <w14:solidFill>
              <w14:schemeClr w14:val="tx1"/>
            </w14:solidFill>
          </w14:textFill>
        </w:rPr>
      </w:pPr>
    </w:p>
    <w:p w14:paraId="6CCA0053">
      <w:pPr>
        <w:bidi w:val="0"/>
        <w:jc w:val="right"/>
        <w:rPr>
          <w:color w:val="000000" w:themeColor="text1"/>
          <w14:textFill>
            <w14:solidFill>
              <w14:schemeClr w14:val="tx1"/>
            </w14:solidFill>
          </w14:textFill>
        </w:rPr>
      </w:pPr>
      <w:r>
        <w:rPr>
          <w:color w:val="000000" w:themeColor="text1"/>
          <w14:textFill>
            <w14:solidFill>
              <w14:schemeClr w14:val="tx1"/>
            </w14:solidFill>
          </w14:textFill>
        </w:rPr>
        <w:t>202</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月</w:t>
      </w:r>
    </w:p>
    <w:p w14:paraId="363DBD19">
      <w:pPr>
        <w:rPr>
          <w:rFonts w:ascii="宋体" w:hAnsi="宋体" w:eastAsia="宋体" w:cs="宋体"/>
          <w:b/>
          <w:bCs/>
          <w:color w:val="000000" w:themeColor="text1"/>
          <w:spacing w:val="-5"/>
          <w:sz w:val="28"/>
          <w:szCs w:val="28"/>
          <w14:textFill>
            <w14:solidFill>
              <w14:schemeClr w14:val="tx1"/>
            </w14:solidFill>
          </w14:textFill>
        </w:rPr>
      </w:pPr>
      <w:r>
        <w:rPr>
          <w:rFonts w:ascii="宋体" w:hAnsi="宋体" w:eastAsia="宋体" w:cs="宋体"/>
          <w:b/>
          <w:bCs/>
          <w:color w:val="000000" w:themeColor="text1"/>
          <w:spacing w:val="-5"/>
          <w:sz w:val="28"/>
          <w:szCs w:val="28"/>
          <w14:textFill>
            <w14:solidFill>
              <w14:schemeClr w14:val="tx1"/>
            </w14:solidFill>
          </w14:textFill>
        </w:rPr>
        <w:br w:type="page"/>
      </w:r>
    </w:p>
    <w:p w14:paraId="762085E1">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0" w:firstLineChars="0"/>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pacing w:val="-5"/>
          <w:sz w:val="28"/>
          <w:szCs w:val="28"/>
          <w14:textFill>
            <w14:solidFill>
              <w14:schemeClr w14:val="tx1"/>
            </w14:solidFill>
          </w14:textFill>
        </w:rPr>
        <w:t>附件：招标文件购买信息登记表</w:t>
      </w:r>
    </w:p>
    <w:p w14:paraId="12A7ACF3">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仿宋" w:hAnsi="仿宋" w:eastAsia="仿宋" w:cs="仿宋"/>
          <w:b/>
          <w:bCs/>
          <w:color w:val="000000" w:themeColor="text1"/>
          <w:spacing w:val="-3"/>
          <w:sz w:val="28"/>
          <w:szCs w:val="28"/>
          <w:lang w:eastAsia="zh-CN"/>
          <w14:textFill>
            <w14:solidFill>
              <w14:schemeClr w14:val="tx1"/>
            </w14:solidFill>
          </w14:textFill>
        </w:rPr>
      </w:pPr>
      <w:r>
        <w:rPr>
          <w:rFonts w:hint="eastAsia" w:ascii="仿宋" w:hAnsi="仿宋" w:eastAsia="仿宋" w:cs="仿宋"/>
          <w:b/>
          <w:bCs/>
          <w:color w:val="000000" w:themeColor="text1"/>
          <w:spacing w:val="-3"/>
          <w:sz w:val="28"/>
          <w:szCs w:val="28"/>
          <w:lang w:eastAsia="zh-CN"/>
          <w14:textFill>
            <w14:solidFill>
              <w14:schemeClr w14:val="tx1"/>
            </w14:solidFill>
          </w14:textFill>
        </w:rPr>
        <w:t>310国道眉县青化至渭滨高家镇公路项目</w:t>
      </w:r>
    </w:p>
    <w:p w14:paraId="41B0D0E9">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仿宋" w:hAnsi="仿宋" w:eastAsia="仿宋" w:cs="仿宋"/>
          <w:b/>
          <w:bCs/>
          <w:color w:val="000000" w:themeColor="text1"/>
          <w:spacing w:val="-3"/>
          <w:sz w:val="28"/>
          <w:szCs w:val="28"/>
          <w14:textFill>
            <w14:solidFill>
              <w14:schemeClr w14:val="tx1"/>
            </w14:solidFill>
          </w14:textFill>
        </w:rPr>
      </w:pPr>
      <w:r>
        <w:rPr>
          <w:rFonts w:hint="eastAsia" w:ascii="仿宋" w:hAnsi="仿宋" w:eastAsia="仿宋" w:cs="仿宋"/>
          <w:b/>
          <w:bCs/>
          <w:color w:val="000000" w:themeColor="text1"/>
          <w:spacing w:val="-3"/>
          <w:sz w:val="28"/>
          <w:szCs w:val="28"/>
          <w:lang w:eastAsia="zh-CN"/>
          <w14:textFill>
            <w14:solidFill>
              <w14:schemeClr w14:val="tx1"/>
            </w14:solidFill>
          </w14:textFill>
        </w:rPr>
        <w:t>涉铁工程铁路营业线施工安全监理(二次)</w:t>
      </w:r>
    </w:p>
    <w:p w14:paraId="598A32D6">
      <w:pPr>
        <w:keepNext w:val="0"/>
        <w:keepLines w:val="0"/>
        <w:pageBreakBefore w:val="0"/>
        <w:widowControl/>
        <w:kinsoku w:val="0"/>
        <w:wordWrap/>
        <w:overflowPunct/>
        <w:topLinePunct w:val="0"/>
        <w:autoSpaceDE w:val="0"/>
        <w:autoSpaceDN w:val="0"/>
        <w:bidi w:val="0"/>
        <w:adjustRightInd w:val="0"/>
        <w:snapToGrid w:val="0"/>
        <w:spacing w:line="520" w:lineRule="exact"/>
        <w:ind w:firstLine="0" w:firstLineChars="0"/>
        <w:jc w:val="center"/>
        <w:textAlignment w:val="baseline"/>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pacing w:val="-3"/>
          <w:sz w:val="28"/>
          <w:szCs w:val="28"/>
          <w14:textFill>
            <w14:solidFill>
              <w14:schemeClr w14:val="tx1"/>
            </w14:solidFill>
          </w14:textFill>
        </w:rPr>
        <w:t>招标文件购买信息登记表</w:t>
      </w:r>
    </w:p>
    <w:tbl>
      <w:tblPr>
        <w:tblStyle w:val="10"/>
        <w:tblW w:w="8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42"/>
        <w:gridCol w:w="5757"/>
      </w:tblGrid>
      <w:tr w14:paraId="28C51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blHeader/>
        </w:trPr>
        <w:tc>
          <w:tcPr>
            <w:tcW w:w="2342" w:type="dxa"/>
            <w:vAlign w:val="center"/>
          </w:tcPr>
          <w:p w14:paraId="63B21690">
            <w:pPr>
              <w:pStyle w:val="9"/>
              <w:keepNext w:val="0"/>
              <w:keepLines w:val="0"/>
              <w:pageBreakBefore w:val="0"/>
              <w:widowControl/>
              <w:kinsoku w:val="0"/>
              <w:wordWrap/>
              <w:overflowPunct/>
              <w:topLinePunct w:val="0"/>
              <w:autoSpaceDE w:val="0"/>
              <w:autoSpaceDN w:val="0"/>
              <w:bidi w:val="0"/>
              <w:adjustRightInd w:val="0"/>
              <w:snapToGrid w:val="0"/>
              <w:spacing w:before="155" w:line="220" w:lineRule="auto"/>
              <w:ind w:firstLine="0" w:firstLineChars="0"/>
              <w:jc w:val="center"/>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pacing w:val="-5"/>
                <w:sz w:val="28"/>
                <w:szCs w:val="28"/>
                <w14:textFill>
                  <w14:solidFill>
                    <w14:schemeClr w14:val="tx1"/>
                  </w14:solidFill>
                </w14:textFill>
              </w:rPr>
              <w:t>单位名称</w:t>
            </w:r>
          </w:p>
        </w:tc>
        <w:tc>
          <w:tcPr>
            <w:tcW w:w="5757" w:type="dxa"/>
            <w:vAlign w:val="top"/>
          </w:tcPr>
          <w:p w14:paraId="61E00147">
            <w:pPr>
              <w:rPr>
                <w:rFonts w:ascii="Arial"/>
                <w:color w:val="000000" w:themeColor="text1"/>
                <w:sz w:val="21"/>
                <w14:textFill>
                  <w14:solidFill>
                    <w14:schemeClr w14:val="tx1"/>
                  </w14:solidFill>
                </w14:textFill>
              </w:rPr>
            </w:pPr>
          </w:p>
        </w:tc>
      </w:tr>
      <w:tr w14:paraId="50BBD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blHeader/>
        </w:trPr>
        <w:tc>
          <w:tcPr>
            <w:tcW w:w="2342" w:type="dxa"/>
            <w:vAlign w:val="center"/>
          </w:tcPr>
          <w:p w14:paraId="6B8C00F0">
            <w:pPr>
              <w:pStyle w:val="9"/>
              <w:keepNext w:val="0"/>
              <w:keepLines w:val="0"/>
              <w:pageBreakBefore w:val="0"/>
              <w:widowControl/>
              <w:kinsoku w:val="0"/>
              <w:wordWrap/>
              <w:overflowPunct/>
              <w:topLinePunct w:val="0"/>
              <w:autoSpaceDE w:val="0"/>
              <w:autoSpaceDN w:val="0"/>
              <w:bidi w:val="0"/>
              <w:adjustRightInd w:val="0"/>
              <w:snapToGrid w:val="0"/>
              <w:spacing w:before="151" w:line="220" w:lineRule="auto"/>
              <w:ind w:firstLine="0" w:firstLineChars="0"/>
              <w:jc w:val="center"/>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pacing w:val="-2"/>
                <w:sz w:val="28"/>
                <w:szCs w:val="28"/>
                <w14:textFill>
                  <w14:solidFill>
                    <w14:schemeClr w14:val="tx1"/>
                  </w14:solidFill>
                </w14:textFill>
              </w:rPr>
              <w:t>联系人姓名</w:t>
            </w:r>
          </w:p>
        </w:tc>
        <w:tc>
          <w:tcPr>
            <w:tcW w:w="5757" w:type="dxa"/>
            <w:vAlign w:val="top"/>
          </w:tcPr>
          <w:p w14:paraId="747C14C0">
            <w:pPr>
              <w:rPr>
                <w:rFonts w:ascii="Arial"/>
                <w:color w:val="000000" w:themeColor="text1"/>
                <w:sz w:val="21"/>
                <w14:textFill>
                  <w14:solidFill>
                    <w14:schemeClr w14:val="tx1"/>
                  </w14:solidFill>
                </w14:textFill>
              </w:rPr>
            </w:pPr>
          </w:p>
        </w:tc>
      </w:tr>
      <w:tr w14:paraId="3CC76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blHeader/>
        </w:trPr>
        <w:tc>
          <w:tcPr>
            <w:tcW w:w="2342" w:type="dxa"/>
            <w:vAlign w:val="center"/>
          </w:tcPr>
          <w:p w14:paraId="461B3B74">
            <w:pPr>
              <w:pStyle w:val="9"/>
              <w:keepNext w:val="0"/>
              <w:keepLines w:val="0"/>
              <w:pageBreakBefore w:val="0"/>
              <w:widowControl/>
              <w:kinsoku w:val="0"/>
              <w:wordWrap/>
              <w:overflowPunct/>
              <w:topLinePunct w:val="0"/>
              <w:autoSpaceDE w:val="0"/>
              <w:autoSpaceDN w:val="0"/>
              <w:bidi w:val="0"/>
              <w:adjustRightInd w:val="0"/>
              <w:snapToGrid w:val="0"/>
              <w:spacing w:before="87" w:line="219" w:lineRule="auto"/>
              <w:ind w:firstLine="0" w:firstLineChars="0"/>
              <w:jc w:val="center"/>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pacing w:val="-7"/>
                <w:sz w:val="28"/>
                <w:szCs w:val="28"/>
                <w14:textFill>
                  <w14:solidFill>
                    <w14:schemeClr w14:val="tx1"/>
                  </w14:solidFill>
                </w14:textFill>
              </w:rPr>
              <w:t>手机</w:t>
            </w:r>
          </w:p>
        </w:tc>
        <w:tc>
          <w:tcPr>
            <w:tcW w:w="5757" w:type="dxa"/>
            <w:vAlign w:val="top"/>
          </w:tcPr>
          <w:p w14:paraId="11E87BEE">
            <w:pPr>
              <w:rPr>
                <w:rFonts w:ascii="Arial"/>
                <w:color w:val="000000" w:themeColor="text1"/>
                <w:sz w:val="21"/>
                <w14:textFill>
                  <w14:solidFill>
                    <w14:schemeClr w14:val="tx1"/>
                  </w14:solidFill>
                </w14:textFill>
              </w:rPr>
            </w:pPr>
          </w:p>
        </w:tc>
      </w:tr>
      <w:tr w14:paraId="721B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blHeader/>
        </w:trPr>
        <w:tc>
          <w:tcPr>
            <w:tcW w:w="2342" w:type="dxa"/>
            <w:vAlign w:val="center"/>
          </w:tcPr>
          <w:p w14:paraId="77126B8C">
            <w:pPr>
              <w:pStyle w:val="9"/>
              <w:keepNext w:val="0"/>
              <w:keepLines w:val="0"/>
              <w:pageBreakBefore w:val="0"/>
              <w:widowControl/>
              <w:kinsoku w:val="0"/>
              <w:wordWrap/>
              <w:overflowPunct/>
              <w:topLinePunct w:val="0"/>
              <w:autoSpaceDE w:val="0"/>
              <w:autoSpaceDN w:val="0"/>
              <w:bidi w:val="0"/>
              <w:adjustRightInd w:val="0"/>
              <w:snapToGrid w:val="0"/>
              <w:spacing w:before="161" w:line="220" w:lineRule="auto"/>
              <w:ind w:firstLine="0" w:firstLineChars="0"/>
              <w:jc w:val="center"/>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pacing w:val="-6"/>
                <w:sz w:val="28"/>
                <w:szCs w:val="28"/>
                <w14:textFill>
                  <w14:solidFill>
                    <w14:schemeClr w14:val="tx1"/>
                  </w14:solidFill>
                </w14:textFill>
              </w:rPr>
              <w:t>固定电话</w:t>
            </w:r>
          </w:p>
        </w:tc>
        <w:tc>
          <w:tcPr>
            <w:tcW w:w="5757" w:type="dxa"/>
            <w:vAlign w:val="top"/>
          </w:tcPr>
          <w:p w14:paraId="6021AC48">
            <w:pPr>
              <w:rPr>
                <w:rFonts w:ascii="Arial"/>
                <w:color w:val="000000" w:themeColor="text1"/>
                <w:sz w:val="21"/>
                <w14:textFill>
                  <w14:solidFill>
                    <w14:schemeClr w14:val="tx1"/>
                  </w14:solidFill>
                </w14:textFill>
              </w:rPr>
            </w:pPr>
          </w:p>
        </w:tc>
      </w:tr>
      <w:tr w14:paraId="63BE1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blHeader/>
        </w:trPr>
        <w:tc>
          <w:tcPr>
            <w:tcW w:w="2342" w:type="dxa"/>
            <w:vAlign w:val="center"/>
          </w:tcPr>
          <w:p w14:paraId="097CCD0E">
            <w:pPr>
              <w:pStyle w:val="9"/>
              <w:keepNext w:val="0"/>
              <w:keepLines w:val="0"/>
              <w:pageBreakBefore w:val="0"/>
              <w:widowControl/>
              <w:kinsoku w:val="0"/>
              <w:wordWrap/>
              <w:overflowPunct/>
              <w:topLinePunct w:val="0"/>
              <w:autoSpaceDE w:val="0"/>
              <w:autoSpaceDN w:val="0"/>
              <w:bidi w:val="0"/>
              <w:adjustRightInd w:val="0"/>
              <w:snapToGrid w:val="0"/>
              <w:spacing w:before="122" w:line="219" w:lineRule="auto"/>
              <w:ind w:firstLine="0" w:firstLineChars="0"/>
              <w:jc w:val="center"/>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pacing w:val="-2"/>
                <w:sz w:val="28"/>
                <w:szCs w:val="28"/>
                <w14:textFill>
                  <w14:solidFill>
                    <w14:schemeClr w14:val="tx1"/>
                  </w14:solidFill>
                </w14:textFill>
              </w:rPr>
              <w:t>传真</w:t>
            </w:r>
          </w:p>
        </w:tc>
        <w:tc>
          <w:tcPr>
            <w:tcW w:w="5757" w:type="dxa"/>
            <w:vAlign w:val="top"/>
          </w:tcPr>
          <w:p w14:paraId="2F27D386">
            <w:pPr>
              <w:rPr>
                <w:rFonts w:ascii="Arial"/>
                <w:color w:val="000000" w:themeColor="text1"/>
                <w:sz w:val="21"/>
                <w14:textFill>
                  <w14:solidFill>
                    <w14:schemeClr w14:val="tx1"/>
                  </w14:solidFill>
                </w14:textFill>
              </w:rPr>
            </w:pPr>
          </w:p>
        </w:tc>
      </w:tr>
      <w:tr w14:paraId="3C3C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5" w:hRule="atLeast"/>
          <w:tblHeader/>
        </w:trPr>
        <w:tc>
          <w:tcPr>
            <w:tcW w:w="2342" w:type="dxa"/>
            <w:vAlign w:val="center"/>
          </w:tcPr>
          <w:p w14:paraId="2E6F5D38">
            <w:pPr>
              <w:pStyle w:val="9"/>
              <w:keepNext w:val="0"/>
              <w:keepLines w:val="0"/>
              <w:pageBreakBefore w:val="0"/>
              <w:widowControl/>
              <w:kinsoku w:val="0"/>
              <w:wordWrap/>
              <w:overflowPunct/>
              <w:topLinePunct w:val="0"/>
              <w:autoSpaceDE w:val="0"/>
              <w:autoSpaceDN w:val="0"/>
              <w:bidi w:val="0"/>
              <w:adjustRightInd w:val="0"/>
              <w:snapToGrid w:val="0"/>
              <w:spacing w:before="152" w:line="220" w:lineRule="auto"/>
              <w:ind w:firstLine="0" w:firstLineChars="0"/>
              <w:jc w:val="center"/>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pacing w:val="-12"/>
                <w:sz w:val="28"/>
                <w:szCs w:val="28"/>
                <w14:textFill>
                  <w14:solidFill>
                    <w14:schemeClr w14:val="tx1"/>
                  </w14:solidFill>
                </w14:textFill>
              </w:rPr>
              <w:t>电子邮箱</w:t>
            </w:r>
          </w:p>
        </w:tc>
        <w:tc>
          <w:tcPr>
            <w:tcW w:w="5757" w:type="dxa"/>
            <w:vAlign w:val="top"/>
          </w:tcPr>
          <w:p w14:paraId="112F72D8">
            <w:pPr>
              <w:rPr>
                <w:rFonts w:ascii="Arial"/>
                <w:color w:val="000000" w:themeColor="text1"/>
                <w:sz w:val="21"/>
                <w14:textFill>
                  <w14:solidFill>
                    <w14:schemeClr w14:val="tx1"/>
                  </w14:solidFill>
                </w14:textFill>
              </w:rPr>
            </w:pPr>
          </w:p>
        </w:tc>
      </w:tr>
      <w:tr w14:paraId="600A5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4" w:hRule="atLeast"/>
          <w:tblHeader/>
        </w:trPr>
        <w:tc>
          <w:tcPr>
            <w:tcW w:w="2342" w:type="dxa"/>
            <w:vAlign w:val="center"/>
          </w:tcPr>
          <w:p w14:paraId="6A4A8948">
            <w:pPr>
              <w:pStyle w:val="9"/>
              <w:keepNext w:val="0"/>
              <w:keepLines w:val="0"/>
              <w:pageBreakBefore w:val="0"/>
              <w:widowControl/>
              <w:kinsoku w:val="0"/>
              <w:wordWrap/>
              <w:overflowPunct/>
              <w:topLinePunct w:val="0"/>
              <w:autoSpaceDE w:val="0"/>
              <w:autoSpaceDN w:val="0"/>
              <w:bidi w:val="0"/>
              <w:adjustRightInd w:val="0"/>
              <w:snapToGrid w:val="0"/>
              <w:spacing w:before="231" w:line="221" w:lineRule="auto"/>
              <w:ind w:firstLine="0" w:firstLineChars="0"/>
              <w:jc w:val="center"/>
              <w:textAlignment w:val="baseline"/>
              <w:rPr>
                <w:rFonts w:hint="eastAsia" w:ascii="仿宋" w:hAnsi="仿宋" w:eastAsia="仿宋" w:cs="仿宋"/>
                <w:b w:val="0"/>
                <w:bCs w:val="0"/>
                <w:color w:val="000000" w:themeColor="text1"/>
                <w:sz w:val="28"/>
                <w:szCs w:val="28"/>
                <w14:textFill>
                  <w14:solidFill>
                    <w14:schemeClr w14:val="tx1"/>
                  </w14:solidFill>
                </w14:textFill>
              </w:rPr>
            </w:pPr>
            <w:r>
              <w:rPr>
                <w:rFonts w:hint="eastAsia" w:ascii="仿宋" w:hAnsi="仿宋" w:eastAsia="仿宋" w:cs="仿宋"/>
                <w:b w:val="0"/>
                <w:bCs w:val="0"/>
                <w:color w:val="000000" w:themeColor="text1"/>
                <w:spacing w:val="-4"/>
                <w:sz w:val="28"/>
                <w:szCs w:val="28"/>
                <w14:textFill>
                  <w14:solidFill>
                    <w14:schemeClr w14:val="tx1"/>
                  </w14:solidFill>
                </w14:textFill>
              </w:rPr>
              <w:t>备注</w:t>
            </w:r>
          </w:p>
        </w:tc>
        <w:tc>
          <w:tcPr>
            <w:tcW w:w="5757" w:type="dxa"/>
            <w:vAlign w:val="top"/>
          </w:tcPr>
          <w:p w14:paraId="3C65FA9B">
            <w:pPr>
              <w:rPr>
                <w:rFonts w:ascii="Arial"/>
                <w:color w:val="000000" w:themeColor="text1"/>
                <w:sz w:val="21"/>
                <w14:textFill>
                  <w14:solidFill>
                    <w14:schemeClr w14:val="tx1"/>
                  </w14:solidFill>
                </w14:textFill>
              </w:rPr>
            </w:pPr>
          </w:p>
        </w:tc>
      </w:tr>
    </w:tbl>
    <w:p w14:paraId="2C9CC5B7">
      <w:pPr>
        <w:pStyle w:val="4"/>
        <w:spacing w:before="118" w:line="220" w:lineRule="auto"/>
        <w:ind w:left="0" w:leftChars="0" w:firstLine="0" w:firstLineChars="0"/>
        <w:outlineLvl w:val="0"/>
        <w:rPr>
          <w:color w:val="000000" w:themeColor="text1"/>
          <w:spacing w:val="15"/>
          <w:sz w:val="36"/>
          <w:szCs w:val="36"/>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altName w:val="黑体"/>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方正仿宋_GBK">
    <w:panose1 w:val="02000000000000000000"/>
    <w:charset w:val="86"/>
    <w:family w:val="auto"/>
    <w:pitch w:val="default"/>
    <w:sig w:usb0="00000001" w:usb1="08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DBC51"/>
    <w:multiLevelType w:val="singleLevel"/>
    <w:tmpl w:val="570DBC51"/>
    <w:lvl w:ilvl="0" w:tentative="0">
      <w:start w:val="1"/>
      <w:numFmt w:val="decimal"/>
      <w:suff w:val="nothing"/>
      <w:lvlText w:val="%1、"/>
      <w:lvlJc w:val="left"/>
      <w:pPr>
        <w:tabs>
          <w:tab w:val="left" w:pos="0"/>
        </w:tabs>
        <w:ind w:left="0" w:firstLine="0"/>
      </w:pPr>
      <w:rPr>
        <w:rFonts w:cs="Times New Roman"/>
      </w:rPr>
    </w:lvl>
  </w:abstractNum>
  <w:abstractNum w:abstractNumId="1">
    <w:nsid w:val="5ADFF693"/>
    <w:multiLevelType w:val="singleLevel"/>
    <w:tmpl w:val="5ADFF69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C70B2"/>
    <w:rsid w:val="07384949"/>
    <w:rsid w:val="12EFC7D2"/>
    <w:rsid w:val="195B5FC1"/>
    <w:rsid w:val="1B106CD9"/>
    <w:rsid w:val="23437C68"/>
    <w:rsid w:val="27EB7224"/>
    <w:rsid w:val="2BF8231C"/>
    <w:rsid w:val="36765F83"/>
    <w:rsid w:val="38E4232C"/>
    <w:rsid w:val="3A6366DE"/>
    <w:rsid w:val="3CB7733E"/>
    <w:rsid w:val="479827E5"/>
    <w:rsid w:val="4AEC14E9"/>
    <w:rsid w:val="51475FBA"/>
    <w:rsid w:val="52752B00"/>
    <w:rsid w:val="559A0800"/>
    <w:rsid w:val="55B3FF9E"/>
    <w:rsid w:val="55F21EDE"/>
    <w:rsid w:val="56D46542"/>
    <w:rsid w:val="57135F3E"/>
    <w:rsid w:val="584B485A"/>
    <w:rsid w:val="587B479B"/>
    <w:rsid w:val="5A9F6E67"/>
    <w:rsid w:val="5C965957"/>
    <w:rsid w:val="5DB42D9B"/>
    <w:rsid w:val="5F9E1E71"/>
    <w:rsid w:val="647F6B82"/>
    <w:rsid w:val="66616023"/>
    <w:rsid w:val="67E535A0"/>
    <w:rsid w:val="67FE4937"/>
    <w:rsid w:val="696A7205"/>
    <w:rsid w:val="6F2B110E"/>
    <w:rsid w:val="6FCB95DB"/>
    <w:rsid w:val="704242E6"/>
    <w:rsid w:val="729303E6"/>
    <w:rsid w:val="74BE3BB9"/>
    <w:rsid w:val="750636AA"/>
    <w:rsid w:val="756F0E8F"/>
    <w:rsid w:val="77217132"/>
    <w:rsid w:val="77FFB418"/>
    <w:rsid w:val="7896198A"/>
    <w:rsid w:val="78C163CE"/>
    <w:rsid w:val="797370CB"/>
    <w:rsid w:val="7CF6426C"/>
    <w:rsid w:val="7DBE928C"/>
    <w:rsid w:val="7DFF6F3A"/>
    <w:rsid w:val="7E0F21B0"/>
    <w:rsid w:val="7F8D9BF0"/>
    <w:rsid w:val="7FF8DDFC"/>
    <w:rsid w:val="A7F73F36"/>
    <w:rsid w:val="DEB5A502"/>
    <w:rsid w:val="DFE934E7"/>
    <w:rsid w:val="DFF37363"/>
    <w:rsid w:val="E3EA992C"/>
    <w:rsid w:val="EDB536CF"/>
    <w:rsid w:val="F55E184F"/>
    <w:rsid w:val="F67EE74A"/>
    <w:rsid w:val="FB7D2CFB"/>
    <w:rsid w:val="FBDB8EAD"/>
    <w:rsid w:val="FFBF9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60" w:lineRule="exact"/>
      <w:ind w:firstLine="783" w:firstLineChars="200"/>
      <w:jc w:val="both"/>
      <w:textAlignment w:val="baseline"/>
    </w:pPr>
    <w:rPr>
      <w:rFonts w:ascii="仿宋" w:hAnsi="仿宋" w:eastAsia="仿宋" w:cs="仿宋"/>
      <w:snapToGrid w:val="0"/>
      <w:color w:val="000000"/>
      <w:kern w:val="0"/>
      <w:sz w:val="28"/>
      <w:szCs w:val="28"/>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eastAsia="黑体"/>
      <w:sz w:val="20"/>
    </w:rPr>
  </w:style>
  <w:style w:type="paragraph" w:styleId="3">
    <w:name w:val="toa heading"/>
    <w:basedOn w:val="1"/>
    <w:next w:val="1"/>
    <w:qFormat/>
    <w:uiPriority w:val="0"/>
    <w:rPr>
      <w:rFonts w:ascii="Arial" w:hAnsi="Arial"/>
      <w:sz w:val="24"/>
    </w:rPr>
  </w:style>
  <w:style w:type="paragraph" w:styleId="4">
    <w:name w:val="Body Text"/>
    <w:basedOn w:val="1"/>
    <w:semiHidden/>
    <w:qFormat/>
    <w:uiPriority w:val="0"/>
    <w:rPr>
      <w:rFonts w:ascii="宋体" w:hAnsi="宋体" w:eastAsia="宋体" w:cs="宋体"/>
      <w:sz w:val="28"/>
      <w:szCs w:val="28"/>
      <w:lang w:val="en-US" w:eastAsia="en-US" w:bidi="ar-SA"/>
    </w:rPr>
  </w:style>
  <w:style w:type="paragraph" w:styleId="5">
    <w:name w:val="footer"/>
    <w:basedOn w:val="1"/>
    <w:unhideWhenUsed/>
    <w:qFormat/>
    <w:uiPriority w:val="99"/>
    <w:pPr>
      <w:tabs>
        <w:tab w:val="center" w:pos="4153"/>
        <w:tab w:val="right" w:pos="8306"/>
      </w:tabs>
      <w:snapToGrid w:val="0"/>
      <w:jc w:val="left"/>
    </w:pPr>
    <w:rPr>
      <w:kern w:val="0"/>
      <w:sz w:val="18"/>
      <w:szCs w:val="18"/>
    </w:rPr>
  </w:style>
  <w:style w:type="character" w:styleId="8">
    <w:name w:val="annotation reference"/>
    <w:qFormat/>
    <w:uiPriority w:val="99"/>
    <w:rPr>
      <w:rFonts w:cs="Times New Roman"/>
      <w:sz w:val="21"/>
      <w:szCs w:val="21"/>
    </w:rPr>
  </w:style>
  <w:style w:type="paragraph" w:customStyle="1" w:styleId="9">
    <w:name w:val="Table Text"/>
    <w:basedOn w:val="1"/>
    <w:semiHidden/>
    <w:qFormat/>
    <w:uiPriority w:val="0"/>
    <w:rPr>
      <w:rFonts w:ascii="宋体" w:hAnsi="宋体" w:eastAsia="宋体" w:cs="宋体"/>
      <w:sz w:val="21"/>
      <w:szCs w:val="21"/>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正文文本 + 10 pt2"/>
    <w:qFormat/>
    <w:uiPriority w:val="0"/>
    <w:rPr>
      <w:rFonts w:ascii="黑体" w:hAnsi="黑体" w:cs="黑体"/>
      <w:color w:val="000000"/>
      <w:kern w:val="1"/>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8821</Words>
  <Characters>9473</Characters>
  <Lines>0</Lines>
  <Paragraphs>0</Paragraphs>
  <TotalTime>2</TotalTime>
  <ScaleCrop>false</ScaleCrop>
  <LinksUpToDate>false</LinksUpToDate>
  <CharactersWithSpaces>9530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2026-04-14T14:46:00Z</dcterms:created>
  <dc:creator>lenovo</dc:creator>
  <cp:lastModifiedBy>kylin</cp:lastModifiedBy>
  <dcterms:modified xsi:type="dcterms:W3CDTF">2026-06-16T14:44:42Z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KSOTemplateDocerSaveRecord">
    <vt:lpwstr>eyJoZGlkIjoiYjU3MGM2NWYzZjMwMjY1ZTczNDQ1N2Q4M2NjYTlmYmEiLCJ1c2VySWQiOiIyNjkyMTQxNDEifQ==</vt:lpwstr>
  </property>
  <property fmtid="{D5CDD505-2E9C-101B-9397-08002B2CF9AE}" pid="4" name="ICV">
    <vt:lpwstr>444BEFB597274C01840D3DF8DC48BCCF_13</vt:lpwstr>
  </property>
</Properties>
</file>