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1DA9D">
      <w:pPr>
        <w:pStyle w:val="4"/>
        <w:spacing w:before="118" w:line="220" w:lineRule="auto"/>
        <w:jc w:val="center"/>
        <w:outlineLvl w:val="0"/>
        <w:rPr>
          <w:b/>
          <w:bCs/>
          <w:color w:val="000000" w:themeColor="text1"/>
          <w:spacing w:val="15"/>
          <w:sz w:val="36"/>
          <w:szCs w:val="36"/>
          <w14:textFill>
            <w14:solidFill>
              <w14:schemeClr w14:val="tx1"/>
            </w14:solidFill>
          </w14:textFill>
        </w:rPr>
      </w:pPr>
      <w:r>
        <w:rPr>
          <w:rFonts w:hint="eastAsia"/>
          <w:b/>
          <w:bCs/>
          <w:color w:val="000000" w:themeColor="text1"/>
          <w:spacing w:val="15"/>
          <w:sz w:val="36"/>
          <w:szCs w:val="36"/>
          <w:lang w:eastAsia="zh-CN"/>
          <w14:textFill>
            <w14:solidFill>
              <w14:schemeClr w14:val="tx1"/>
            </w14:solidFill>
          </w14:textFill>
        </w:rPr>
        <w:t>310国道眉县青化至渭滨高家镇公路项目涉铁工程铁路营业线施工安全监理(三次)</w:t>
      </w:r>
      <w:r>
        <w:rPr>
          <w:b/>
          <w:bCs/>
          <w:color w:val="000000" w:themeColor="text1"/>
          <w:spacing w:val="15"/>
          <w:sz w:val="36"/>
          <w:szCs w:val="36"/>
          <w14:textFill>
            <w14:solidFill>
              <w14:schemeClr w14:val="tx1"/>
            </w14:solidFill>
          </w14:textFill>
        </w:rPr>
        <w:t>招标文件</w:t>
      </w:r>
    </w:p>
    <w:p w14:paraId="33B819E9">
      <w:pPr>
        <w:pStyle w:val="4"/>
        <w:spacing w:before="118" w:line="220" w:lineRule="auto"/>
        <w:jc w:val="center"/>
        <w:outlineLvl w:val="0"/>
        <w:rPr>
          <w:rFonts w:hint="eastAsia" w:ascii="黑体" w:hAnsi="黑体" w:eastAsia="黑体" w:cs="黑体"/>
          <w:b w:val="0"/>
          <w:bCs/>
          <w:color w:val="000000" w:themeColor="text1"/>
          <w:sz w:val="32"/>
          <w:szCs w:val="32"/>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关键内容公示</w:t>
      </w:r>
    </w:p>
    <w:p w14:paraId="133FEC85">
      <w:pPr>
        <w:pStyle w:val="4"/>
        <w:spacing w:before="118" w:line="220" w:lineRule="auto"/>
        <w:ind w:firstLine="640" w:firstLineChars="200"/>
        <w:jc w:val="both"/>
        <w:outlineLvl w:val="0"/>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一、项目概况</w:t>
      </w:r>
    </w:p>
    <w:p w14:paraId="1A71E0CE">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1.建设地点：宝鸡市。</w:t>
      </w:r>
    </w:p>
    <w:p w14:paraId="703405B5">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2.工程规模：</w:t>
      </w:r>
    </w:p>
    <w:p w14:paraId="249D639C">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路堑上跨徐兰高铁石鼓山隧道(K1244+499)工程：</w:t>
      </w:r>
    </w:p>
    <w:p w14:paraId="671B2BB4">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拟建路堑与既有徐兰高铁石鼓山隧道相交，交点处徐兰高铁下行线里程K1244+498.86，位于宝鸡南站(小里程侧)与东岔站(大里程侧)区间，交点处公路里程K84+217.76，拟建路堑与徐兰高铁交角为50.4°。石鼓山隧道起讫里程K1242+666.38~K1246+996.38，隧道长4330m，为双线隧道。</w:t>
      </w:r>
    </w:p>
    <w:p w14:paraId="18F5763C">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神农特大桥上跨宝成铁路工程：</w:t>
      </w:r>
    </w:p>
    <w:p w14:paraId="196C0C2A">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①立交桥的主体结构、相关附属工程及铁路相关设备迁改：本桥位于半径为580m的圆曲线上，顶板设置5%的单向坡。主桥整幅设计，桥梁全长190m，孔跨布置为(95+95)m，梁逢宽度为12cm，采用预应力混凝土T构，平面转体法施工。转体结构长90+90m，转体重量约27000吨，两侧边跨合拢段长4.88m。</w:t>
      </w:r>
    </w:p>
    <w:p w14:paraId="73704DBA">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②立交桥相邻孔1-25m简支小箱梁的主体结构、11号桥墩、相关附属工程：本桥位于半径为580m的圆曲线上，桥梁长25m。</w:t>
      </w:r>
    </w:p>
    <w:p w14:paraId="2EB745EA">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3.招标范围：两处涉铁工程铁路营业线施工安全监理。</w:t>
      </w:r>
    </w:p>
    <w:p w14:paraId="62BDD0C4">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①路堑上跨徐兰高铁石鼓山隧道(K1244+499)工程（不含路面）：设计起止里程共两段：K84+023.5~K84+117、K84+153~K84+400。</w:t>
      </w:r>
    </w:p>
    <w:p w14:paraId="3C978ABA">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②神农特大桥上跨宝成铁路工程（不含路面、标线）：设计起止里程共两段：K91+208~K91+398(梁缝中心)，桥梁长190m；K91+398~K91+423(梁缝中心)，桥梁长25m。</w:t>
      </w:r>
    </w:p>
    <w:p w14:paraId="27351903">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4.主要工程内容</w:t>
      </w:r>
    </w:p>
    <w:p w14:paraId="590C087D">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（1）监理人应遵循《中华人民共和国铁路法》、《铁路建设工程监理规范》（TB 10402-2019）、《铁路安全管理条例》（国务院令第639号）、《建设工程监理规范》（GB/T50319-2013）、《国家铁路局关于印发&lt;铁路营业线施工安全管理</w:t>
      </w:r>
      <w:bookmarkStart w:id="0" w:name="_GoBack"/>
      <w:bookmarkEnd w:id="0"/>
      <w:r>
        <w:rPr>
          <w:rFonts w:hint="eastAsia"/>
          <w:color w:val="000000" w:themeColor="text1"/>
          <w:lang w:val="en-US" w:eastAsia="zh-CN"/>
          <w14:textFill>
            <w14:solidFill>
              <w14:schemeClr w14:val="tx1"/>
            </w14:solidFill>
          </w14:textFill>
        </w:rPr>
        <w:t>办法&gt;的通知》（国铁运输监〔2021〕31号）、《铁路建设项目监理工作管理办法》（铁总建设〔2015〕263号）、《国铁集团关于加强涉铁工程管理的指导意见》（铁工电〔2021〕85号）、《关于进一步规范涉铁工程管理的通知》（铁经开〔2022〕129号）、《中国铁路西安局集团有限公司关于印发&lt;西安局集团公司涉铁工程建设管理办法&gt;的通知》（西铁科信〔2024〕178号）等法律法规及相关规定要求，开展涉铁工程铁路营业线的施工安全监理工作。</w:t>
      </w:r>
    </w:p>
    <w:p w14:paraId="3BD73E1D">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（2）成立项目现场监理部，负涉铁工程安全监理总责。制定项目安全生产管理监理工作目标、制度，编制相应安全生产管理监理规划及监理安全穿透式管理实施细则。</w:t>
      </w:r>
    </w:p>
    <w:p w14:paraId="603C079F">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审查施工单位现场安全生产管理制度和安全生产管理体系的建立和实施情况，审查施工单位的项目机构与主要人员配备特别是专职安全生产管理人员的专业、数量应满足需要，审查施工专业分包单位资质、安全生产许可证，现场审查特种作业人员和特种设备操作人员资格及安全防护用具、机械设备、施工机具等，检查施工人员的安全培训计划及落实情况。</w:t>
      </w:r>
    </w:p>
    <w:p w14:paraId="1A56A1F4">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审核铁路营业线及邻近营业线施工组织设计中有关安全生产的内容、专项施工方案，并由总监理工程师签署审核意见；审核施工单位安全保障措施、危险源识别及应急预案、预防措施、安全防护措施费用使用计划。</w:t>
      </w:r>
    </w:p>
    <w:p w14:paraId="777787D7">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审核铁路营业线及邻近营业线施工计划，核对现场施工范围、施工内容等是否与施工计划一致；审查施工单位是否与运输设备管理部门和行车组织单位签订营业线施工安全协议，并检查施工单位现场防护措施。</w:t>
      </w:r>
    </w:p>
    <w:p w14:paraId="0922ADA9">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（6）参加铁路营业线及邻近营业线设计交底和重大方案的安全交底，参加图纸会审及超过一定规模的危大工程专项方案专家论证会，检查现场人员安全技术交底及实施情况。</w:t>
      </w:r>
    </w:p>
    <w:p w14:paraId="7198A00A">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（7）参加铁路营业线及邻近营业线施工预备会、协调会和总结会，组织召开大机“三会”，严格执行营业线施工“三个不得”、“六个不准”及“一机一人制度”等相关规定。</w:t>
      </w:r>
    </w:p>
    <w:p w14:paraId="76C625C6">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（8）进行施工现场的日常安全巡视检查，按规定实施安全监理旁站；定期组织施工单位进行安全检查及专项安全检查。</w:t>
      </w:r>
    </w:p>
    <w:p w14:paraId="142A143E">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（9）检查铁路营业线及邻近营业线施工过程中的各种安全生产标识、标牌、人员持证到岗、施工人员行为以及安全防护措施、现场安全状况等情况是否符合强制性标准要求和落实情况。</w:t>
      </w:r>
    </w:p>
    <w:p w14:paraId="60B256B0">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（10）按照铁路主管部门相关要求，完成铁路营业线及邻近营业线项目安全监理资料的收集整理、立卷归档工作，配合建设单位完成涉铁项目交、竣工验收等相关工作。</w:t>
      </w:r>
    </w:p>
    <w:p w14:paraId="0AABA3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二、投标人资格要求</w:t>
      </w:r>
    </w:p>
    <w:p w14:paraId="7F4FADC5">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310国道眉县青化至渭滨高家镇公路项目涉铁工程铁路营业线施工安全监理(三次)：本次招标要求投标人须具备 具有独立法人资格；具备住房和城乡建设部颁发的工程监理综合资质或住房和城乡建设部颁发的铁路工程监理甲级资质、2021年1月至投标截止时间：至少具有一项独立完成过1座及以上采用转体施工工艺的上跨铁路营业线桥梁监理业绩（附合同协议书），并在人员等方面具备相应的施工安全监理能力。</w:t>
      </w:r>
    </w:p>
    <w:p w14:paraId="47748C89">
      <w:pPr>
        <w:bidi w:val="0"/>
        <w:ind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（1）资质最低要求</w:t>
      </w:r>
    </w:p>
    <w:tbl>
      <w:tblPr>
        <w:tblStyle w:val="6"/>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08"/>
        <w:gridCol w:w="7278"/>
      </w:tblGrid>
      <w:tr w14:paraId="1FC0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2" w:hRule="atLeast"/>
          <w:tblHeader/>
          <w:jc w:val="center"/>
        </w:trPr>
        <w:tc>
          <w:tcPr>
            <w:tcW w:w="1408" w:type="dxa"/>
            <w:noWrap w:val="0"/>
            <w:vAlign w:val="center"/>
          </w:tcPr>
          <w:p w14:paraId="364B87FA">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标段</w:t>
            </w:r>
          </w:p>
        </w:tc>
        <w:tc>
          <w:tcPr>
            <w:tcW w:w="7278" w:type="dxa"/>
            <w:noWrap w:val="0"/>
            <w:tcMar>
              <w:top w:w="0" w:type="dxa"/>
              <w:left w:w="108" w:type="dxa"/>
              <w:bottom w:w="0" w:type="dxa"/>
              <w:right w:w="108" w:type="dxa"/>
            </w:tcMar>
            <w:vAlign w:val="center"/>
          </w:tcPr>
          <w:p w14:paraId="1BB2C732">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资质要求</w:t>
            </w:r>
          </w:p>
        </w:tc>
      </w:tr>
      <w:tr w14:paraId="1D6A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39" w:hRule="atLeast"/>
          <w:jc w:val="center"/>
        </w:trPr>
        <w:tc>
          <w:tcPr>
            <w:tcW w:w="1408" w:type="dxa"/>
            <w:noWrap w:val="0"/>
            <w:vAlign w:val="center"/>
          </w:tcPr>
          <w:p w14:paraId="5A0E5D5F">
            <w:pPr>
              <w:bidi w:val="0"/>
              <w:rPr>
                <w:rFonts w:hint="eastAsia"/>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310国道眉县青化至渭滨高家镇公路项目涉铁工程铁路营业线施工安全监理(三次)</w:t>
            </w:r>
          </w:p>
        </w:tc>
        <w:tc>
          <w:tcPr>
            <w:tcW w:w="7278" w:type="dxa"/>
            <w:noWrap w:val="0"/>
            <w:tcMar>
              <w:top w:w="0" w:type="dxa"/>
              <w:left w:w="108" w:type="dxa"/>
              <w:bottom w:w="0" w:type="dxa"/>
              <w:right w:w="108" w:type="dxa"/>
            </w:tcMar>
            <w:vAlign w:val="center"/>
          </w:tcPr>
          <w:p w14:paraId="7E28DF8C">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具有独立法人资格；</w:t>
            </w:r>
            <w:r>
              <w:rPr>
                <w:rFonts w:hint="eastAsia"/>
                <w:color w:val="000000" w:themeColor="text1"/>
                <w:lang w:eastAsia="zh-CN"/>
                <w14:textFill>
                  <w14:solidFill>
                    <w14:schemeClr w14:val="tx1"/>
                  </w14:solidFill>
                </w14:textFill>
              </w:rPr>
              <w:t>具备住房和城乡建设部颁发的工程监理综合资质或住房和城乡建设部颁发的铁路工程监理甲级资质</w:t>
            </w:r>
            <w:r>
              <w:rPr>
                <w:rFonts w:hint="eastAsia"/>
                <w:color w:val="000000" w:themeColor="text1"/>
                <w14:textFill>
                  <w14:solidFill>
                    <w14:schemeClr w14:val="tx1"/>
                  </w14:solidFill>
                </w14:textFill>
              </w:rPr>
              <w:t>。</w:t>
            </w:r>
          </w:p>
        </w:tc>
      </w:tr>
    </w:tbl>
    <w:p w14:paraId="156BEFE0">
      <w:pPr>
        <w:bidi w:val="0"/>
        <w:ind w:firstLine="640" w:firstLineChars="200"/>
        <w:rPr>
          <w:rStyle w:val="8"/>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8"/>
          <w:rFonts w:hint="eastAsia" w:ascii="仿宋_GB2312" w:hAnsi="仿宋_GB2312" w:eastAsia="仿宋_GB2312" w:cs="仿宋_GB2312"/>
          <w:color w:val="000000" w:themeColor="text1"/>
          <w:sz w:val="32"/>
          <w:szCs w:val="32"/>
          <w:highlight w:val="none"/>
          <w14:textFill>
            <w14:solidFill>
              <w14:schemeClr w14:val="tx1"/>
            </w14:solidFill>
          </w14:textFill>
        </w:rPr>
        <w:t>（2）业绩最低要求</w:t>
      </w:r>
    </w:p>
    <w:tbl>
      <w:tblPr>
        <w:tblStyle w:val="6"/>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7376"/>
      </w:tblGrid>
      <w:tr w14:paraId="249B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blHeader/>
          <w:jc w:val="center"/>
        </w:trPr>
        <w:tc>
          <w:tcPr>
            <w:tcW w:w="1355" w:type="dxa"/>
            <w:noWrap w:val="0"/>
            <w:vAlign w:val="center"/>
          </w:tcPr>
          <w:p w14:paraId="7DCF0C06">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标段</w:t>
            </w:r>
          </w:p>
        </w:tc>
        <w:tc>
          <w:tcPr>
            <w:tcW w:w="7376" w:type="dxa"/>
            <w:noWrap w:val="0"/>
            <w:vAlign w:val="center"/>
          </w:tcPr>
          <w:p w14:paraId="62C223D6">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业绩要求</w:t>
            </w:r>
          </w:p>
        </w:tc>
      </w:tr>
      <w:tr w14:paraId="15EB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8" w:hRule="atLeast"/>
          <w:jc w:val="center"/>
        </w:trPr>
        <w:tc>
          <w:tcPr>
            <w:tcW w:w="1355" w:type="dxa"/>
            <w:noWrap w:val="0"/>
            <w:vAlign w:val="center"/>
          </w:tcPr>
          <w:p w14:paraId="3D076C69">
            <w:pPr>
              <w:bidi w:val="0"/>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310国道眉县青化至渭滨高家镇公路项目涉铁工程铁路营业线施工安全监理(三次)</w:t>
            </w:r>
          </w:p>
        </w:tc>
        <w:tc>
          <w:tcPr>
            <w:tcW w:w="7376" w:type="dxa"/>
            <w:noWrap w:val="0"/>
            <w:vAlign w:val="center"/>
          </w:tcPr>
          <w:p w14:paraId="7CCB4117">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2021年1月至投标截止时间：至少具有一项独立完成过1座及以上采用转体施工工艺的上跨铁路营业线桥梁监理业绩（附合同协议书）。</w:t>
            </w:r>
          </w:p>
        </w:tc>
      </w:tr>
    </w:tbl>
    <w:p w14:paraId="22D565B3">
      <w:pPr>
        <w:bidi w:val="0"/>
        <w:ind w:firstLine="640" w:firstLineChars="200"/>
        <w:rPr>
          <w:rStyle w:val="8"/>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8"/>
          <w:rFonts w:hint="eastAsia" w:ascii="仿宋_GB2312" w:hAnsi="仿宋_GB2312" w:eastAsia="仿宋_GB2312" w:cs="仿宋_GB2312"/>
          <w:color w:val="000000" w:themeColor="text1"/>
          <w:sz w:val="32"/>
          <w:szCs w:val="32"/>
          <w:highlight w:val="none"/>
          <w14:textFill>
            <w14:solidFill>
              <w14:schemeClr w14:val="tx1"/>
            </w14:solidFill>
          </w14:textFill>
        </w:rPr>
        <w:t>（</w:t>
      </w:r>
      <w:r>
        <w:rPr>
          <w:rStyle w:val="8"/>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Style w:val="8"/>
          <w:rFonts w:hint="eastAsia" w:ascii="仿宋_GB2312" w:hAnsi="仿宋_GB2312" w:eastAsia="仿宋_GB2312" w:cs="仿宋_GB2312"/>
          <w:color w:val="000000" w:themeColor="text1"/>
          <w:sz w:val="32"/>
          <w:szCs w:val="32"/>
          <w:highlight w:val="none"/>
          <w14:textFill>
            <w14:solidFill>
              <w14:schemeClr w14:val="tx1"/>
            </w14:solidFill>
          </w14:textFill>
        </w:rPr>
        <w:t>）信誉最低要求</w:t>
      </w:r>
    </w:p>
    <w:tbl>
      <w:tblPr>
        <w:tblStyle w:val="6"/>
        <w:tblW w:w="8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7365"/>
      </w:tblGrid>
      <w:tr w14:paraId="5998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blHeader/>
          <w:jc w:val="center"/>
        </w:trPr>
        <w:tc>
          <w:tcPr>
            <w:tcW w:w="1291" w:type="dxa"/>
            <w:noWrap w:val="0"/>
            <w:vAlign w:val="center"/>
          </w:tcPr>
          <w:p w14:paraId="12CF2582">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标段</w:t>
            </w:r>
          </w:p>
        </w:tc>
        <w:tc>
          <w:tcPr>
            <w:tcW w:w="7365" w:type="dxa"/>
            <w:noWrap w:val="0"/>
            <w:vAlign w:val="center"/>
          </w:tcPr>
          <w:p w14:paraId="7FF0C3F3">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信誉要求</w:t>
            </w:r>
          </w:p>
        </w:tc>
      </w:tr>
      <w:tr w14:paraId="7454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291" w:type="dxa"/>
            <w:noWrap w:val="0"/>
            <w:vAlign w:val="center"/>
          </w:tcPr>
          <w:p w14:paraId="04541E64">
            <w:pPr>
              <w:bidi w:val="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310国道眉县青化至渭滨高家镇公路项目涉铁工程铁路营业线施工安全监理(三次)</w:t>
            </w:r>
          </w:p>
        </w:tc>
        <w:tc>
          <w:tcPr>
            <w:tcW w:w="7365" w:type="dxa"/>
            <w:noWrap w:val="0"/>
            <w:vAlign w:val="center"/>
          </w:tcPr>
          <w:p w14:paraId="2C0B6037">
            <w:pPr>
              <w:bidi w:val="0"/>
              <w:ind w:firstLine="56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1.自2</w:t>
            </w:r>
            <w:r>
              <w:rPr>
                <w:rFonts w:hint="eastAsia"/>
                <w:color w:val="000000" w:themeColor="text1"/>
                <w:lang w:val="en-US" w:eastAsia="zh-CN"/>
                <w14:textFill>
                  <w14:solidFill>
                    <w14:schemeClr w14:val="tx1"/>
                  </w14:solidFill>
                </w14:textFill>
              </w:rPr>
              <w:t>021</w:t>
            </w:r>
            <w:r>
              <w:rPr>
                <w:rFonts w:hint="eastAsia"/>
                <w:color w:val="000000" w:themeColor="text1"/>
                <w14:textFill>
                  <w14:solidFill>
                    <w14:schemeClr w14:val="tx1"/>
                  </w14:solidFill>
                </w14:textFill>
              </w:rPr>
              <w:t>年1月起至今投标人、法定代表人、拟投入的项目总监理工程师均无行贿犯罪行为（以“中国裁判文书网”查询结果为准，查询时间在公告发布之日起之后）；</w:t>
            </w:r>
          </w:p>
          <w:p w14:paraId="15E26041">
            <w:pPr>
              <w:bidi w:val="0"/>
              <w:ind w:firstLine="56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2.投标人未被列入严重违法失信企业名单（以“国家企业信用信息公示系统”查询结果为准）；</w:t>
            </w:r>
          </w:p>
          <w:p w14:paraId="3375F32C">
            <w:pPr>
              <w:bidi w:val="0"/>
              <w:ind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3.投标人未被列入失信被执行人名单（以“中国执行信息公开网”网站查询结果为准）；投标人未被列入重大税收违法失信主体当事人的单位（以“信用中国”网站查询结果为准）</w:t>
            </w:r>
            <w:r>
              <w:rPr>
                <w:rFonts w:hint="eastAsia"/>
                <w:color w:val="000000" w:themeColor="text1"/>
                <w:lang w:eastAsia="zh-CN"/>
                <w14:textFill>
                  <w14:solidFill>
                    <w14:schemeClr w14:val="tx1"/>
                  </w14:solidFill>
                </w14:textFill>
              </w:rPr>
              <w:t>。</w:t>
            </w:r>
          </w:p>
        </w:tc>
      </w:tr>
    </w:tbl>
    <w:p w14:paraId="185A301D">
      <w:pPr>
        <w:bidi w:val="0"/>
        <w:ind w:firstLine="640" w:firstLineChars="200"/>
        <w:rPr>
          <w:rStyle w:val="8"/>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8"/>
          <w:rFonts w:hint="eastAsia" w:ascii="仿宋_GB2312" w:hAnsi="仿宋_GB2312" w:eastAsia="仿宋_GB2312" w:cs="仿宋_GB2312"/>
          <w:color w:val="000000" w:themeColor="text1"/>
          <w:sz w:val="32"/>
          <w:szCs w:val="32"/>
          <w:highlight w:val="none"/>
          <w14:textFill>
            <w14:solidFill>
              <w14:schemeClr w14:val="tx1"/>
            </w14:solidFill>
          </w14:textFill>
        </w:rPr>
        <w:t>（</w:t>
      </w:r>
      <w:r>
        <w:rPr>
          <w:rStyle w:val="8"/>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Style w:val="8"/>
          <w:rFonts w:hint="eastAsia" w:ascii="仿宋_GB2312" w:hAnsi="仿宋_GB2312" w:eastAsia="仿宋_GB2312" w:cs="仿宋_GB2312"/>
          <w:color w:val="000000" w:themeColor="text1"/>
          <w:sz w:val="32"/>
          <w:szCs w:val="32"/>
          <w:highlight w:val="none"/>
          <w14:textFill>
            <w14:solidFill>
              <w14:schemeClr w14:val="tx1"/>
            </w14:solidFill>
          </w14:textFill>
        </w:rPr>
        <w:t>）</w:t>
      </w:r>
      <w:r>
        <w:rPr>
          <w:rStyle w:val="8"/>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总监理工程师</w:t>
      </w:r>
      <w:r>
        <w:rPr>
          <w:rStyle w:val="8"/>
          <w:rFonts w:hint="eastAsia" w:ascii="仿宋_GB2312" w:hAnsi="仿宋_GB2312" w:eastAsia="仿宋_GB2312" w:cs="仿宋_GB2312"/>
          <w:color w:val="000000" w:themeColor="text1"/>
          <w:sz w:val="32"/>
          <w:szCs w:val="32"/>
          <w:highlight w:val="none"/>
          <w14:textFill>
            <w14:solidFill>
              <w14:schemeClr w14:val="tx1"/>
            </w14:solidFill>
          </w14:textFill>
        </w:rPr>
        <w:t>最低要求</w:t>
      </w:r>
    </w:p>
    <w:tbl>
      <w:tblPr>
        <w:tblStyle w:val="6"/>
        <w:tblpPr w:leftFromText="180" w:rightFromText="180" w:vertAnchor="text" w:horzAnchor="page" w:tblpXSpec="center" w:tblpY="23"/>
        <w:tblOverlap w:val="never"/>
        <w:tblW w:w="8620" w:type="dxa"/>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776"/>
        <w:gridCol w:w="672"/>
        <w:gridCol w:w="4362"/>
        <w:gridCol w:w="1716"/>
      </w:tblGrid>
      <w:tr w14:paraId="67DA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blHeader/>
        </w:trPr>
        <w:tc>
          <w:tcPr>
            <w:tcW w:w="1094" w:type="dxa"/>
            <w:noWrap w:val="0"/>
            <w:vAlign w:val="center"/>
          </w:tcPr>
          <w:p w14:paraId="7121DD69">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标段</w:t>
            </w:r>
          </w:p>
        </w:tc>
        <w:tc>
          <w:tcPr>
            <w:tcW w:w="776" w:type="dxa"/>
            <w:noWrap w:val="0"/>
            <w:vAlign w:val="center"/>
          </w:tcPr>
          <w:p w14:paraId="5BE499FC">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人员</w:t>
            </w:r>
          </w:p>
        </w:tc>
        <w:tc>
          <w:tcPr>
            <w:tcW w:w="672" w:type="dxa"/>
            <w:noWrap w:val="0"/>
            <w:vAlign w:val="center"/>
          </w:tcPr>
          <w:p w14:paraId="28E6E67E">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数量</w:t>
            </w:r>
          </w:p>
        </w:tc>
        <w:tc>
          <w:tcPr>
            <w:tcW w:w="4362" w:type="dxa"/>
            <w:noWrap w:val="0"/>
            <w:vAlign w:val="center"/>
          </w:tcPr>
          <w:p w14:paraId="74D8023F">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资格要求</w:t>
            </w:r>
          </w:p>
        </w:tc>
        <w:tc>
          <w:tcPr>
            <w:tcW w:w="1716" w:type="dxa"/>
            <w:noWrap w:val="0"/>
            <w:vAlign w:val="center"/>
          </w:tcPr>
          <w:p w14:paraId="2B2CC168">
            <w:pPr>
              <w:tabs>
                <w:tab w:val="left" w:pos="1778"/>
              </w:tabs>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在岗要求</w:t>
            </w:r>
          </w:p>
        </w:tc>
      </w:tr>
      <w:tr w14:paraId="3B34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094" w:type="dxa"/>
            <w:noWrap w:val="0"/>
            <w:vAlign w:val="center"/>
          </w:tcPr>
          <w:p w14:paraId="01F0151F">
            <w:pPr>
              <w:bidi w:val="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310国道眉县青化至渭滨高家镇公路项目涉铁工程铁路营业线施工安全监理(三次)</w:t>
            </w:r>
          </w:p>
        </w:tc>
        <w:tc>
          <w:tcPr>
            <w:tcW w:w="776" w:type="dxa"/>
            <w:noWrap w:val="0"/>
            <w:vAlign w:val="center"/>
          </w:tcPr>
          <w:p w14:paraId="3AA4AD42">
            <w:pPr>
              <w:bidi w:val="0"/>
              <w:rPr>
                <w:rFonts w:hint="eastAsia"/>
                <w:color w:val="000000" w:themeColor="text1"/>
                <w14:textFill>
                  <w14:solidFill>
                    <w14:schemeClr w14:val="tx1"/>
                  </w14:solidFill>
                </w14:textFill>
              </w:rPr>
            </w:pPr>
            <w:r>
              <w:rPr>
                <w:color w:val="000000" w:themeColor="text1"/>
                <w14:textFill>
                  <w14:solidFill>
                    <w14:schemeClr w14:val="tx1"/>
                  </w14:solidFill>
                </w14:textFill>
              </w:rPr>
              <w:t>总监理工程师</w:t>
            </w:r>
          </w:p>
        </w:tc>
        <w:tc>
          <w:tcPr>
            <w:tcW w:w="672" w:type="dxa"/>
            <w:noWrap w:val="0"/>
            <w:vAlign w:val="center"/>
          </w:tcPr>
          <w:p w14:paraId="6BC6AD5A">
            <w:pPr>
              <w:bidi w:val="0"/>
              <w:rPr>
                <w:rFonts w:hint="eastAsia"/>
                <w:color w:val="000000" w:themeColor="text1"/>
                <w14:textFill>
                  <w14:solidFill>
                    <w14:schemeClr w14:val="tx1"/>
                  </w14:solidFill>
                </w14:textFill>
              </w:rPr>
            </w:pPr>
            <w:r>
              <w:rPr>
                <w:color w:val="000000" w:themeColor="text1"/>
                <w14:textFill>
                  <w14:solidFill>
                    <w14:schemeClr w14:val="tx1"/>
                  </w14:solidFill>
                </w14:textFill>
              </w:rPr>
              <w:t>1</w:t>
            </w:r>
          </w:p>
        </w:tc>
        <w:tc>
          <w:tcPr>
            <w:tcW w:w="4362" w:type="dxa"/>
            <w:noWrap w:val="0"/>
            <w:vAlign w:val="center"/>
          </w:tcPr>
          <w:p w14:paraId="6BF3F9F2">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能够提供近一年（2025年7月至今）职工基本养老保险个人账户缴纳证明文件，持有铁路工程专业国家注册监理工程师证书，且经过铁路总监理工程师业务培训并取得培训合格证书，担任过1项铁路营业线（或邻近铁路营业线）工程施工监理服务项目的总监理工程师，且无在监项目。</w:t>
            </w:r>
          </w:p>
        </w:tc>
        <w:tc>
          <w:tcPr>
            <w:tcW w:w="1716" w:type="dxa"/>
            <w:noWrap w:val="0"/>
            <w:vAlign w:val="center"/>
          </w:tcPr>
          <w:p w14:paraId="647526A9">
            <w:pPr>
              <w:bidi w:val="0"/>
              <w:rPr>
                <w:rFonts w:hint="eastAsia"/>
                <w:color w:val="000000" w:themeColor="text1"/>
                <w14:textFill>
                  <w14:solidFill>
                    <w14:schemeClr w14:val="tx1"/>
                  </w14:solidFill>
                </w14:textFill>
              </w:rPr>
            </w:pPr>
            <w:r>
              <w:rPr>
                <w:color w:val="000000" w:themeColor="text1"/>
                <w14:textFill>
                  <w14:solidFill>
                    <w14:schemeClr w14:val="tx1"/>
                  </w14:solidFill>
                </w14:textFill>
              </w:rPr>
              <w:t>无在岗项目（指目前未在其他项目上任职，或虽在其他项目上任职但本项目中标后能够从该项目撤离）</w:t>
            </w:r>
          </w:p>
        </w:tc>
      </w:tr>
    </w:tbl>
    <w:p w14:paraId="7D4A2619">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（5）本次招标 不接受 联合体投标。</w:t>
      </w:r>
    </w:p>
    <w:p w14:paraId="65E9C7D4">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（6）每个投标人最多可对 1个标段 投标，被 / 交通运输主管部门评为/信用等级的投标人，最多可对/投标。每个投标人允许中 1个标段 。对投标人信用等级的认定条件为：/。补充说明：/。</w:t>
      </w:r>
    </w:p>
    <w:p w14:paraId="78BE97D0">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与招标人存在利害关系可能影响招标公正性的单位，不得参加投标。单位负责人为同一人或存在控股、管理关系的不同单位，不得同时参加本次投标，否则相关投标均无效。投标人应如实填报本单位的信誉情况，并按照招标文件要求在投标文件中附其在中国裁判文书网、国家企业信用信息公示系统、中国执行信息公开网、信用中国相应查询结果网页截图复印件。</w:t>
      </w:r>
    </w:p>
    <w:p w14:paraId="63747430">
      <w:pPr>
        <w:bidi w:val="0"/>
        <w:ind w:firstLine="56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（8）在“信用中国”网站（http://www.creditchina.gov.cn/）中被列入失信被执行人名单的投标人，不得参加投标。</w:t>
      </w:r>
    </w:p>
    <w:p w14:paraId="52A2C47A">
      <w:pPr>
        <w:bidi w:val="0"/>
        <w:ind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投标保证金：每个投标人</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万元人民币；投标保证金形式：电汇、转账或保函。</w:t>
      </w:r>
    </w:p>
    <w:p w14:paraId="36A148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三、评标办法</w:t>
      </w:r>
    </w:p>
    <w:p w14:paraId="37F16E1C">
      <w:pPr>
        <w:spacing w:line="360" w:lineRule="auto"/>
        <w:jc w:val="center"/>
        <w:rPr>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评标办法前附表</w:t>
      </w: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79"/>
        <w:gridCol w:w="619"/>
        <w:gridCol w:w="6"/>
        <w:gridCol w:w="140"/>
        <w:gridCol w:w="556"/>
        <w:gridCol w:w="1503"/>
        <w:gridCol w:w="550"/>
        <w:gridCol w:w="1147"/>
        <w:gridCol w:w="3616"/>
      </w:tblGrid>
      <w:tr w14:paraId="43B2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8" w:type="dxa"/>
            <w:gridSpan w:val="5"/>
            <w:vAlign w:val="center"/>
          </w:tcPr>
          <w:p w14:paraId="0043069D">
            <w:pPr>
              <w:autoSpaceDE/>
              <w:autoSpaceDN/>
              <w:adjustRightInd/>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条款号</w:t>
            </w:r>
          </w:p>
        </w:tc>
        <w:tc>
          <w:tcPr>
            <w:tcW w:w="7372" w:type="dxa"/>
            <w:gridSpan w:val="5"/>
            <w:vAlign w:val="center"/>
          </w:tcPr>
          <w:p w14:paraId="1EBDFB47">
            <w:pPr>
              <w:autoSpaceDE/>
              <w:autoSpaceDN/>
              <w:adjustRightInd/>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评审因素与标准</w:t>
            </w:r>
          </w:p>
        </w:tc>
      </w:tr>
      <w:tr w14:paraId="7861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43" w:type="dxa"/>
            <w:gridSpan w:val="2"/>
            <w:vAlign w:val="center"/>
          </w:tcPr>
          <w:p w14:paraId="2E25F2EF">
            <w:pPr>
              <w:autoSpaceDE/>
              <w:autoSpaceDN/>
              <w:adjustRightInd/>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p>
        </w:tc>
        <w:tc>
          <w:tcPr>
            <w:tcW w:w="765" w:type="dxa"/>
            <w:gridSpan w:val="3"/>
            <w:vAlign w:val="center"/>
          </w:tcPr>
          <w:p w14:paraId="7F6AB0ED">
            <w:pPr>
              <w:autoSpaceDE/>
              <w:autoSpaceDN/>
              <w:adjustRightInd/>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评标方法</w:t>
            </w:r>
          </w:p>
        </w:tc>
        <w:tc>
          <w:tcPr>
            <w:tcW w:w="7372" w:type="dxa"/>
            <w:gridSpan w:val="5"/>
            <w:vAlign w:val="center"/>
          </w:tcPr>
          <w:p w14:paraId="63F4C62D">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综合得分由高至低对投标人进行排序。推荐得分排名第一的投标人为第一中标候选人，排名第二、第三的投标人分别为第二、第三中标候选人。综合评分相等时，评标委员会依次按照以下优先顺序推荐中标候选人或确定中标人：</w:t>
            </w:r>
          </w:p>
          <w:p w14:paraId="2C51F3EC">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（1）评标价低的投标人优先；</w:t>
            </w:r>
          </w:p>
          <w:p w14:paraId="3ED37335">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（2）技术建议书得分较高的投标人优先。</w:t>
            </w:r>
          </w:p>
        </w:tc>
      </w:tr>
      <w:tr w14:paraId="3999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4" w:hRule="atLeast"/>
          <w:jc w:val="center"/>
        </w:trPr>
        <w:tc>
          <w:tcPr>
            <w:tcW w:w="1043" w:type="dxa"/>
            <w:gridSpan w:val="2"/>
            <w:vAlign w:val="center"/>
          </w:tcPr>
          <w:p w14:paraId="5CC340EA">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2.1.1</w:t>
            </w:r>
          </w:p>
          <w:p w14:paraId="41F28C84">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2.1.3</w:t>
            </w:r>
          </w:p>
        </w:tc>
        <w:tc>
          <w:tcPr>
            <w:tcW w:w="765" w:type="dxa"/>
            <w:gridSpan w:val="3"/>
            <w:vAlign w:val="center"/>
          </w:tcPr>
          <w:p w14:paraId="6CB6C01F">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形式评审与响应性评审标准</w:t>
            </w:r>
          </w:p>
          <w:p w14:paraId="690BD8AA">
            <w:pPr>
              <w:jc w:val="center"/>
              <w:rPr>
                <w:rFonts w:ascii="Times New Roman" w:hAnsi="Times New Roman" w:cs="Times New Roman"/>
                <w:color w:val="auto"/>
                <w:szCs w:val="21"/>
                <w:highlight w:val="none"/>
              </w:rPr>
            </w:pPr>
          </w:p>
        </w:tc>
        <w:tc>
          <w:tcPr>
            <w:tcW w:w="7372" w:type="dxa"/>
            <w:gridSpan w:val="5"/>
          </w:tcPr>
          <w:p w14:paraId="76DC364E">
            <w:pPr>
              <w:jc w:val="left"/>
              <w:rPr>
                <w:rFonts w:ascii="Times New Roman" w:hAnsi="Times New Roman" w:cs="Times New Roman"/>
                <w:color w:val="auto"/>
                <w:highlight w:val="none"/>
              </w:rPr>
            </w:pPr>
            <w:r>
              <w:rPr>
                <w:rFonts w:ascii="Times New Roman" w:hAnsi="Times New Roman" w:cs="Times New Roman"/>
                <w:color w:val="auto"/>
                <w:highlight w:val="none"/>
              </w:rPr>
              <w:t>第一信封（商务及技术文件）评审标准：</w:t>
            </w:r>
          </w:p>
          <w:p w14:paraId="3B3A2657">
            <w:pPr>
              <w:numPr>
                <w:ilvl w:val="0"/>
                <w:numId w:val="1"/>
              </w:numPr>
              <w:snapToGrid w:val="0"/>
              <w:jc w:val="left"/>
              <w:rPr>
                <w:rFonts w:ascii="Times New Roman" w:hAnsi="Times New Roman" w:cs="Times New Roman"/>
                <w:color w:val="auto"/>
                <w:highlight w:val="none"/>
              </w:rPr>
            </w:pPr>
            <w:r>
              <w:rPr>
                <w:rFonts w:ascii="Times New Roman" w:hAnsi="Times New Roman" w:cs="Times New Roman"/>
                <w:color w:val="auto"/>
                <w:highlight w:val="none"/>
              </w:rPr>
              <w:t xml:space="preserve">投标文件按照招标文件规定的格式、内容和要求编制，字迹清晰可辨； </w:t>
            </w:r>
          </w:p>
          <w:p w14:paraId="0A69C406">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a.投标函按招标文件规定填报了项目名称、补遗书编号（如有）、监理服务期限、工程质量要求及安全目标；</w:t>
            </w:r>
          </w:p>
          <w:p w14:paraId="18E1FDF4">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b.投标文件组成齐全完整，内容均按规定填写（包括响应备注、附表所要求的内容）。</w:t>
            </w:r>
          </w:p>
          <w:p w14:paraId="49415940">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（2）投标文件上法定代表人或其委托代理人的签字或盖章，投标人的单位章盖章齐全，符合招标文件规定。</w:t>
            </w:r>
          </w:p>
          <w:p w14:paraId="5DCC04B4">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（3）投标人按照招标文件规定提供了投标保证金；</w:t>
            </w:r>
          </w:p>
          <w:p w14:paraId="6C3CA2CC">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a.投标保证金金额符合招标文件规定的金额，且投标保证金有效期不少于投标有效期；</w:t>
            </w:r>
          </w:p>
          <w:p w14:paraId="5E22195D">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b.若投标保证金采用现金形式提交，投标人应在递交投标文件截止时间之前，将投标保证金由投标人的基本账户转入招标人指定账户；</w:t>
            </w:r>
          </w:p>
          <w:p w14:paraId="61A64032">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c.若投标保证金采用银行保函形式提交，银行保函的格式、开具保函的银行均满足招标文件要求，且在递交投标文件截止时间之前向代理机构提交了银行保函原件和开具保函权限说明（如有）的原件。</w:t>
            </w:r>
          </w:p>
          <w:p w14:paraId="670F0F8B">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（4）投标人法定代表人授权委托代理人签署投标文件的，需提交授权委托书，且单位章盖章及法人章盖章齐全，符合招标文件规定。</w:t>
            </w:r>
          </w:p>
          <w:p w14:paraId="49890117">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（5）投标人法定代表人亲自签署投标文件的，提供了法定代表人身份证明，且法定代表人在法定代表人身份证明上盖章，符合招标文件规定。</w:t>
            </w:r>
          </w:p>
          <w:p w14:paraId="31FBA36A">
            <w:pPr>
              <w:snapToGrid w:val="0"/>
              <w:jc w:val="left"/>
              <w:rPr>
                <w:rFonts w:ascii="Times New Roman" w:hAnsi="Times New Roman" w:cs="Times New Roman"/>
                <w:color w:val="auto"/>
                <w:highlight w:val="none"/>
              </w:rPr>
            </w:pPr>
            <w:r>
              <w:rPr>
                <w:rFonts w:ascii="Times New Roman" w:hAnsi="Times New Roman" w:cs="Times New Roman"/>
                <w:color w:val="auto"/>
                <w:highlight w:val="none"/>
              </w:rPr>
              <w:t>（6）投标人没有以联合体形式提出申请。</w:t>
            </w:r>
          </w:p>
          <w:p w14:paraId="54641107">
            <w:pPr>
              <w:jc w:val="left"/>
              <w:rPr>
                <w:rFonts w:ascii="Times New Roman" w:hAnsi="Times New Roman" w:cs="Times New Roman"/>
                <w:color w:val="auto"/>
                <w:highlight w:val="none"/>
              </w:rPr>
            </w:pPr>
            <w:r>
              <w:rPr>
                <w:rFonts w:ascii="Times New Roman" w:hAnsi="Times New Roman" w:cs="Times New Roman"/>
                <w:color w:val="auto"/>
                <w:highlight w:val="none"/>
              </w:rPr>
              <w:t>（7）同一投标人未提交两个以上不同的投标文件。</w:t>
            </w:r>
          </w:p>
          <w:p w14:paraId="685DF553">
            <w:pPr>
              <w:jc w:val="left"/>
              <w:rPr>
                <w:rFonts w:ascii="Times New Roman" w:hAnsi="Times New Roman" w:cs="Times New Roman"/>
                <w:color w:val="auto"/>
                <w:highlight w:val="none"/>
              </w:rPr>
            </w:pPr>
            <w:r>
              <w:rPr>
                <w:rFonts w:ascii="Times New Roman" w:hAnsi="Times New Roman" w:cs="Times New Roman"/>
                <w:color w:val="auto"/>
                <w:highlight w:val="none"/>
              </w:rPr>
              <w:t>（8）投标文件中未出现有关投标报价的内容。</w:t>
            </w:r>
          </w:p>
          <w:p w14:paraId="1F65D985">
            <w:pPr>
              <w:jc w:val="left"/>
              <w:rPr>
                <w:rFonts w:ascii="Times New Roman" w:hAnsi="Times New Roman" w:cs="Times New Roman"/>
                <w:color w:val="auto"/>
                <w:highlight w:val="none"/>
              </w:rPr>
            </w:pPr>
            <w:r>
              <w:rPr>
                <w:rFonts w:ascii="Times New Roman" w:hAnsi="Times New Roman" w:cs="Times New Roman"/>
                <w:color w:val="auto"/>
                <w:highlight w:val="none"/>
              </w:rPr>
              <w:t>（9）投标文件载明的招标项目完成期限未超过招标文件规定的时限。</w:t>
            </w:r>
          </w:p>
          <w:p w14:paraId="330970ED">
            <w:pPr>
              <w:jc w:val="left"/>
              <w:rPr>
                <w:rFonts w:ascii="Times New Roman" w:hAnsi="Times New Roman" w:cs="Times New Roman"/>
                <w:color w:val="auto"/>
                <w:highlight w:val="none"/>
              </w:rPr>
            </w:pPr>
            <w:r>
              <w:rPr>
                <w:rFonts w:ascii="Times New Roman" w:hAnsi="Times New Roman" w:cs="Times New Roman"/>
                <w:color w:val="auto"/>
                <w:highlight w:val="none"/>
              </w:rPr>
              <w:t>（10）投标文件对招标文件的实质性要求和条件作出响应。</w:t>
            </w:r>
          </w:p>
          <w:p w14:paraId="187E739D">
            <w:pPr>
              <w:jc w:val="left"/>
              <w:rPr>
                <w:rFonts w:ascii="Times New Roman" w:hAnsi="Times New Roman" w:cs="Times New Roman"/>
                <w:color w:val="auto"/>
                <w:highlight w:val="none"/>
              </w:rPr>
            </w:pPr>
            <w:r>
              <w:rPr>
                <w:rFonts w:ascii="Times New Roman" w:hAnsi="Times New Roman" w:cs="Times New Roman"/>
                <w:color w:val="auto"/>
                <w:highlight w:val="none"/>
              </w:rPr>
              <w:t>（11）权利义务符合招标文件规定：</w:t>
            </w:r>
          </w:p>
          <w:p w14:paraId="6BC9EED5">
            <w:pPr>
              <w:jc w:val="left"/>
              <w:rPr>
                <w:rFonts w:ascii="Times New Roman" w:hAnsi="Times New Roman" w:cs="Times New Roman"/>
                <w:color w:val="auto"/>
                <w:highlight w:val="none"/>
              </w:rPr>
            </w:pPr>
            <w:r>
              <w:rPr>
                <w:rFonts w:ascii="Times New Roman" w:hAnsi="Times New Roman" w:cs="Times New Roman"/>
                <w:color w:val="auto"/>
                <w:highlight w:val="none"/>
              </w:rPr>
              <w:t>a.投标人应接受招标文件规定的风险划分原则，未提出新的风险划分办法；</w:t>
            </w:r>
          </w:p>
          <w:p w14:paraId="1AE612D2">
            <w:pPr>
              <w:jc w:val="left"/>
              <w:rPr>
                <w:rFonts w:ascii="Times New Roman" w:hAnsi="Times New Roman" w:cs="Times New Roman"/>
                <w:color w:val="auto"/>
                <w:highlight w:val="none"/>
              </w:rPr>
            </w:pPr>
            <w:r>
              <w:rPr>
                <w:rFonts w:ascii="Times New Roman" w:hAnsi="Times New Roman" w:cs="Times New Roman"/>
                <w:color w:val="auto"/>
                <w:highlight w:val="none"/>
              </w:rPr>
              <w:t>b.投标人未增加发包人的责任范围，或减少投标人义务；</w:t>
            </w:r>
          </w:p>
          <w:p w14:paraId="7582B1EE">
            <w:pPr>
              <w:jc w:val="left"/>
              <w:rPr>
                <w:rFonts w:ascii="Times New Roman" w:hAnsi="Times New Roman" w:cs="Times New Roman"/>
                <w:color w:val="auto"/>
                <w:highlight w:val="none"/>
              </w:rPr>
            </w:pPr>
            <w:r>
              <w:rPr>
                <w:rFonts w:ascii="Times New Roman" w:hAnsi="Times New Roman" w:cs="Times New Roman"/>
                <w:color w:val="auto"/>
                <w:highlight w:val="none"/>
              </w:rPr>
              <w:t>c.投标人未提出不同的工程验收、计量、支付办法；</w:t>
            </w:r>
          </w:p>
          <w:p w14:paraId="584F22B4">
            <w:pPr>
              <w:jc w:val="left"/>
              <w:rPr>
                <w:rFonts w:ascii="Times New Roman" w:hAnsi="Times New Roman" w:cs="Times New Roman"/>
                <w:color w:val="auto"/>
                <w:highlight w:val="none"/>
              </w:rPr>
            </w:pPr>
            <w:r>
              <w:rPr>
                <w:rFonts w:ascii="Times New Roman" w:hAnsi="Times New Roman" w:cs="Times New Roman"/>
                <w:color w:val="auto"/>
                <w:highlight w:val="none"/>
              </w:rPr>
              <w:t>d.投标人对合同纠纷、事故处理办法未提出异议；</w:t>
            </w:r>
          </w:p>
          <w:p w14:paraId="4CA7CA42">
            <w:pPr>
              <w:jc w:val="left"/>
              <w:rPr>
                <w:rFonts w:ascii="Times New Roman" w:hAnsi="Times New Roman" w:cs="Times New Roman"/>
                <w:color w:val="auto"/>
                <w:highlight w:val="none"/>
              </w:rPr>
            </w:pPr>
            <w:r>
              <w:rPr>
                <w:rFonts w:ascii="Times New Roman" w:hAnsi="Times New Roman" w:cs="Times New Roman"/>
                <w:color w:val="auto"/>
                <w:highlight w:val="none"/>
              </w:rPr>
              <w:t>e.投标人在投标活动中无欺诈行为；</w:t>
            </w:r>
          </w:p>
          <w:p w14:paraId="5144D7AE">
            <w:pPr>
              <w:jc w:val="left"/>
              <w:rPr>
                <w:rFonts w:ascii="Times New Roman" w:hAnsi="Times New Roman" w:cs="Times New Roman"/>
                <w:color w:val="auto"/>
                <w:highlight w:val="none"/>
              </w:rPr>
            </w:pPr>
            <w:r>
              <w:rPr>
                <w:rFonts w:ascii="Times New Roman" w:hAnsi="Times New Roman" w:cs="Times New Roman"/>
                <w:color w:val="auto"/>
                <w:highlight w:val="none"/>
              </w:rPr>
              <w:t>f.投标人未对合同条款有重要保留。</w:t>
            </w:r>
          </w:p>
          <w:p w14:paraId="5B1BB423">
            <w:pPr>
              <w:jc w:val="left"/>
              <w:rPr>
                <w:rFonts w:ascii="Times New Roman" w:hAnsi="Times New Roman" w:cs="Times New Roman"/>
                <w:strike w:val="0"/>
                <w:dstrike w:val="0"/>
                <w:color w:val="auto"/>
                <w:highlight w:val="none"/>
              </w:rPr>
            </w:pPr>
            <w:r>
              <w:rPr>
                <w:rFonts w:ascii="Times New Roman" w:hAnsi="Times New Roman" w:cs="Times New Roman"/>
                <w:strike w:val="0"/>
                <w:dstrike w:val="0"/>
                <w:color w:val="auto"/>
                <w:highlight w:val="none"/>
              </w:rPr>
              <w:t>（1</w:t>
            </w:r>
            <w:r>
              <w:rPr>
                <w:rFonts w:hint="eastAsia" w:cs="Times New Roman"/>
                <w:strike w:val="0"/>
                <w:dstrike w:val="0"/>
                <w:color w:val="auto"/>
                <w:highlight w:val="none"/>
                <w:lang w:val="en-US" w:eastAsia="zh-CN"/>
              </w:rPr>
              <w:t>2</w:t>
            </w:r>
            <w:r>
              <w:rPr>
                <w:rFonts w:ascii="Times New Roman" w:hAnsi="Times New Roman" w:cs="Times New Roman"/>
                <w:strike w:val="0"/>
                <w:dstrike w:val="0"/>
                <w:color w:val="auto"/>
                <w:highlight w:val="none"/>
              </w:rPr>
              <w:t>）</w:t>
            </w:r>
            <w:r>
              <w:rPr>
                <w:rFonts w:ascii="Times New Roman" w:hAnsi="Times New Roman" w:cs="Times New Roman"/>
                <w:strike w:val="0"/>
                <w:dstrike w:val="0"/>
                <w:color w:val="auto"/>
                <w:highlight w:val="none"/>
                <w:lang w:val="en-US" w:eastAsia="zh-CN"/>
              </w:rPr>
              <w:t>投标文件投标函标明的项目名称、招标人及投标人名称一致。</w:t>
            </w:r>
          </w:p>
          <w:p w14:paraId="2C21B574">
            <w:pPr>
              <w:jc w:val="left"/>
              <w:rPr>
                <w:rFonts w:ascii="Times New Roman" w:hAnsi="Times New Roman" w:cs="Times New Roman"/>
                <w:strike w:val="0"/>
                <w:dstrike w:val="0"/>
                <w:color w:val="auto"/>
                <w:highlight w:val="none"/>
              </w:rPr>
            </w:pPr>
            <w:r>
              <w:rPr>
                <w:rFonts w:ascii="Times New Roman" w:hAnsi="Times New Roman" w:cs="Times New Roman"/>
                <w:strike w:val="0"/>
                <w:dstrike w:val="0"/>
                <w:color w:val="auto"/>
                <w:highlight w:val="none"/>
              </w:rPr>
              <w:t>（1</w:t>
            </w:r>
            <w:r>
              <w:rPr>
                <w:rFonts w:hint="eastAsia" w:cs="Times New Roman"/>
                <w:strike w:val="0"/>
                <w:dstrike w:val="0"/>
                <w:color w:val="auto"/>
                <w:highlight w:val="none"/>
                <w:lang w:val="en-US" w:eastAsia="zh-CN"/>
              </w:rPr>
              <w:t>3</w:t>
            </w:r>
            <w:r>
              <w:rPr>
                <w:rFonts w:ascii="Times New Roman" w:hAnsi="Times New Roman" w:cs="Times New Roman"/>
                <w:strike w:val="0"/>
                <w:dstrike w:val="0"/>
                <w:color w:val="auto"/>
                <w:highlight w:val="none"/>
              </w:rPr>
              <w:t>）不同投标人的投标文件未相互混装。</w:t>
            </w:r>
            <w:r>
              <w:rPr>
                <w:rFonts w:ascii="Times New Roman" w:hAnsi="Times New Roman" w:cs="Times New Roman"/>
                <w:strike w:val="0"/>
                <w:dstrike w:val="0"/>
                <w:color w:val="auto"/>
                <w:highlight w:val="none"/>
              </w:rPr>
              <w:tab/>
            </w:r>
          </w:p>
          <w:p w14:paraId="4DC97592">
            <w:pPr>
              <w:jc w:val="left"/>
              <w:rPr>
                <w:rFonts w:ascii="Times New Roman" w:hAnsi="Times New Roman" w:cs="Times New Roman"/>
                <w:color w:val="auto"/>
                <w:highlight w:val="none"/>
              </w:rPr>
            </w:pPr>
            <w:r>
              <w:rPr>
                <w:rFonts w:ascii="Times New Roman" w:hAnsi="Times New Roman" w:cs="Times New Roman"/>
                <w:color w:val="auto"/>
                <w:highlight w:val="none"/>
              </w:rPr>
              <w:t>第二信封（报价文件）评审标准：</w:t>
            </w:r>
          </w:p>
          <w:p w14:paraId="5E6D861F">
            <w:pPr>
              <w:jc w:val="left"/>
              <w:rPr>
                <w:rFonts w:ascii="Times New Roman" w:hAnsi="Times New Roman" w:cs="Times New Roman"/>
                <w:color w:val="auto"/>
                <w:highlight w:val="none"/>
              </w:rPr>
            </w:pPr>
            <w:r>
              <w:rPr>
                <w:rFonts w:ascii="Times New Roman" w:hAnsi="Times New Roman" w:cs="Times New Roman"/>
                <w:color w:val="auto"/>
                <w:highlight w:val="none"/>
              </w:rPr>
              <w:t>(1)投标文件按照招标文件规定的格式、内容填写，字迹清晰可辨，内容齐全完整：</w:t>
            </w:r>
          </w:p>
          <w:p w14:paraId="27992D9E">
            <w:pPr>
              <w:jc w:val="left"/>
              <w:rPr>
                <w:rFonts w:ascii="Times New Roman" w:hAnsi="Times New Roman" w:cs="Times New Roman"/>
                <w:color w:val="auto"/>
                <w:highlight w:val="none"/>
              </w:rPr>
            </w:pPr>
            <w:r>
              <w:rPr>
                <w:rFonts w:ascii="Times New Roman" w:hAnsi="Times New Roman" w:cs="Times New Roman"/>
                <w:color w:val="auto"/>
                <w:highlight w:val="none"/>
              </w:rPr>
              <w:t>a.投标函按招标文件规定填报了项目名称、补遗书编号（如有）、投标价（包括大写金额和小写金额）；</w:t>
            </w:r>
          </w:p>
          <w:p w14:paraId="0048B048">
            <w:pPr>
              <w:jc w:val="left"/>
              <w:rPr>
                <w:rFonts w:ascii="Times New Roman" w:hAnsi="Times New Roman" w:cs="Times New Roman"/>
                <w:color w:val="auto"/>
                <w:highlight w:val="none"/>
              </w:rPr>
            </w:pPr>
            <w:r>
              <w:rPr>
                <w:rFonts w:ascii="Times New Roman" w:hAnsi="Times New Roman" w:cs="Times New Roman"/>
                <w:color w:val="auto"/>
                <w:highlight w:val="none"/>
              </w:rPr>
              <w:t>b.已标价工程量清单说明文字与招标文件规定一致，未进行实质性修改和删减；</w:t>
            </w:r>
          </w:p>
          <w:p w14:paraId="3C85AA82">
            <w:pPr>
              <w:jc w:val="left"/>
              <w:rPr>
                <w:rFonts w:ascii="Times New Roman" w:hAnsi="Times New Roman" w:cs="Times New Roman"/>
                <w:color w:val="auto"/>
                <w:highlight w:val="none"/>
              </w:rPr>
            </w:pPr>
            <w:r>
              <w:rPr>
                <w:rFonts w:ascii="Times New Roman" w:hAnsi="Times New Roman" w:cs="Times New Roman"/>
                <w:color w:val="auto"/>
                <w:highlight w:val="none"/>
              </w:rPr>
              <w:t>c.投标文件组成齐全完整，内容均按规定填写。</w:t>
            </w:r>
          </w:p>
          <w:p w14:paraId="6DBF264C">
            <w:pPr>
              <w:jc w:val="left"/>
              <w:rPr>
                <w:rFonts w:ascii="Times New Roman" w:hAnsi="Times New Roman" w:cs="Times New Roman"/>
                <w:color w:val="auto"/>
                <w:highlight w:val="none"/>
              </w:rPr>
            </w:pPr>
            <w:r>
              <w:rPr>
                <w:rFonts w:ascii="Times New Roman" w:hAnsi="Times New Roman" w:cs="Times New Roman"/>
                <w:color w:val="auto"/>
                <w:highlight w:val="none"/>
              </w:rPr>
              <w:t>(2)投标文件上法定代表人或其委托代理人的签字或盖章，投标人的单位章盖章齐全，符合招标文件规定。</w:t>
            </w:r>
          </w:p>
          <w:p w14:paraId="14CDB2E0">
            <w:pPr>
              <w:jc w:val="left"/>
              <w:rPr>
                <w:rFonts w:ascii="Times New Roman" w:hAnsi="Times New Roman" w:cs="Times New Roman"/>
                <w:color w:val="auto"/>
                <w:highlight w:val="none"/>
              </w:rPr>
            </w:pPr>
            <w:r>
              <w:rPr>
                <w:rFonts w:ascii="Times New Roman" w:hAnsi="Times New Roman" w:cs="Times New Roman"/>
                <w:color w:val="auto"/>
                <w:highlight w:val="none"/>
              </w:rPr>
              <w:t>(3)投标报价未超过招标文件设定的最高投标限价。</w:t>
            </w:r>
          </w:p>
          <w:p w14:paraId="6C95AB5A">
            <w:pPr>
              <w:jc w:val="left"/>
              <w:rPr>
                <w:rFonts w:ascii="Times New Roman" w:hAnsi="Times New Roman" w:cs="Times New Roman"/>
                <w:color w:val="auto"/>
                <w:highlight w:val="none"/>
              </w:rPr>
            </w:pPr>
            <w:r>
              <w:rPr>
                <w:rFonts w:ascii="Times New Roman" w:hAnsi="Times New Roman" w:cs="Times New Roman"/>
                <w:color w:val="auto"/>
                <w:highlight w:val="none"/>
              </w:rPr>
              <w:t>(4)投标报价的大写金额能够确定具体数值。</w:t>
            </w:r>
          </w:p>
          <w:p w14:paraId="3934364B">
            <w:pPr>
              <w:jc w:val="left"/>
              <w:rPr>
                <w:rFonts w:ascii="Times New Roman" w:hAnsi="Times New Roman" w:cs="Times New Roman"/>
                <w:color w:val="auto"/>
                <w:highlight w:val="none"/>
              </w:rPr>
            </w:pPr>
            <w:r>
              <w:rPr>
                <w:rFonts w:ascii="Times New Roman" w:hAnsi="Times New Roman" w:cs="Times New Roman"/>
                <w:color w:val="auto"/>
                <w:highlight w:val="none"/>
              </w:rPr>
              <w:t>(5)同一投标人未提交两个以上不同的投标报价。</w:t>
            </w:r>
          </w:p>
          <w:p w14:paraId="14228F50">
            <w:pPr>
              <w:jc w:val="left"/>
              <w:rPr>
                <w:rFonts w:ascii="Times New Roman" w:hAnsi="Times New Roman" w:cs="Times New Roman"/>
                <w:color w:val="auto"/>
                <w:highlight w:val="none"/>
                <w:lang w:val="en-US" w:eastAsia="zh-CN"/>
              </w:rPr>
            </w:pPr>
            <w:r>
              <w:rPr>
                <w:rFonts w:ascii="Times New Roman" w:hAnsi="Times New Roman" w:cs="Times New Roman"/>
                <w:color w:val="auto"/>
                <w:highlight w:val="none"/>
                <w:lang w:val="en-US" w:eastAsia="zh-CN"/>
              </w:rPr>
              <w:t>(</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lang w:val="en-US" w:eastAsia="zh-CN"/>
              </w:rPr>
              <w:t>)投标文件投标函标明的项目名称、招标人及投标人名称一致。</w:t>
            </w:r>
          </w:p>
          <w:p w14:paraId="11C6AC5C">
            <w:pPr>
              <w:jc w:val="left"/>
              <w:rPr>
                <w:rFonts w:ascii="Times New Roman" w:hAnsi="Times New Roman" w:eastAsia="楷体_GB2312" w:cs="Times New Roman"/>
                <w:color w:val="auto"/>
                <w:kern w:val="2"/>
                <w:sz w:val="21"/>
                <w:highlight w:val="none"/>
                <w:lang w:val="en-US" w:eastAsia="zh-CN" w:bidi="ar-SA"/>
              </w:rPr>
            </w:pPr>
            <w:r>
              <w:rPr>
                <w:rFonts w:ascii="Times New Roman" w:hAnsi="Times New Roman" w:cs="Times New Roman"/>
                <w:color w:val="auto"/>
                <w:highlight w:val="none"/>
                <w:lang w:val="en-US" w:eastAsia="zh-CN"/>
              </w:rPr>
              <w:t>(</w:t>
            </w: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lang w:val="en-US" w:eastAsia="zh-CN"/>
              </w:rPr>
              <w:t>)不同投标人的投标文件未相互混装。</w:t>
            </w:r>
          </w:p>
        </w:tc>
      </w:tr>
      <w:tr w14:paraId="3FF2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4" w:hRule="atLeast"/>
          <w:jc w:val="center"/>
        </w:trPr>
        <w:tc>
          <w:tcPr>
            <w:tcW w:w="1043" w:type="dxa"/>
            <w:gridSpan w:val="2"/>
            <w:vAlign w:val="center"/>
          </w:tcPr>
          <w:p w14:paraId="15C6C672">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2.1.2</w:t>
            </w:r>
          </w:p>
        </w:tc>
        <w:tc>
          <w:tcPr>
            <w:tcW w:w="765" w:type="dxa"/>
            <w:gridSpan w:val="3"/>
            <w:vAlign w:val="center"/>
          </w:tcPr>
          <w:p w14:paraId="0A22AC4C">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资格评审标准</w:t>
            </w:r>
          </w:p>
        </w:tc>
        <w:tc>
          <w:tcPr>
            <w:tcW w:w="7372" w:type="dxa"/>
            <w:gridSpan w:val="5"/>
            <w:tcBorders>
              <w:bottom w:val="single" w:color="000000" w:sz="8" w:space="0"/>
            </w:tcBorders>
            <w:vAlign w:val="center"/>
          </w:tcPr>
          <w:p w14:paraId="55FB9DAE">
            <w:pPr>
              <w:jc w:val="left"/>
              <w:rPr>
                <w:rFonts w:ascii="Times New Roman" w:hAnsi="Times New Roman" w:cs="Times New Roman"/>
                <w:color w:val="auto"/>
                <w:highlight w:val="none"/>
              </w:rPr>
            </w:pPr>
          </w:p>
          <w:p w14:paraId="292C1256">
            <w:pPr>
              <w:jc w:val="left"/>
              <w:rPr>
                <w:rFonts w:ascii="Times New Roman" w:hAnsi="Times New Roman" w:cs="Times New Roman"/>
                <w:color w:val="auto"/>
                <w:highlight w:val="none"/>
              </w:rPr>
            </w:pPr>
            <w:r>
              <w:rPr>
                <w:rFonts w:ascii="Times New Roman" w:hAnsi="Times New Roman" w:cs="Times New Roman"/>
                <w:color w:val="auto"/>
                <w:highlight w:val="none"/>
              </w:rPr>
              <w:t>（1）投标人具备有效的营业执照、组织机构代码证、相应资质证书和基本账户开户许可证；</w:t>
            </w:r>
          </w:p>
          <w:p w14:paraId="4882AFC4">
            <w:pPr>
              <w:jc w:val="left"/>
              <w:rPr>
                <w:rFonts w:ascii="Times New Roman" w:hAnsi="Times New Roman" w:cs="Times New Roman"/>
                <w:color w:val="auto"/>
                <w:highlight w:val="none"/>
              </w:rPr>
            </w:pPr>
            <w:r>
              <w:rPr>
                <w:rFonts w:ascii="Times New Roman" w:hAnsi="Times New Roman" w:cs="Times New Roman"/>
                <w:color w:val="auto"/>
                <w:highlight w:val="none"/>
              </w:rPr>
              <w:t>（2）投标人的资质等级符合第二章“投标人须知前附表”附录1规定；</w:t>
            </w:r>
          </w:p>
          <w:p w14:paraId="0BDE36C6">
            <w:pPr>
              <w:jc w:val="left"/>
              <w:rPr>
                <w:rFonts w:ascii="Times New Roman" w:hAnsi="Times New Roman" w:cs="Times New Roman"/>
                <w:color w:val="auto"/>
                <w:highlight w:val="none"/>
              </w:rPr>
            </w:pPr>
            <w:r>
              <w:rPr>
                <w:rFonts w:ascii="Times New Roman" w:hAnsi="Times New Roman" w:cs="Times New Roman"/>
                <w:color w:val="auto"/>
                <w:highlight w:val="none"/>
              </w:rPr>
              <w:t>（3）投标人的类似项目业绩符合第二章“投标人须知前附表”附录2规定；</w:t>
            </w:r>
          </w:p>
          <w:p w14:paraId="7D1DFDD6">
            <w:pPr>
              <w:jc w:val="left"/>
              <w:rPr>
                <w:rFonts w:ascii="Times New Roman" w:hAnsi="Times New Roman" w:cs="Times New Roman"/>
                <w:color w:val="auto"/>
                <w:highlight w:val="none"/>
              </w:rPr>
            </w:pPr>
            <w:r>
              <w:rPr>
                <w:rFonts w:ascii="Times New Roman" w:hAnsi="Times New Roman" w:cs="Times New Roman"/>
                <w:color w:val="auto"/>
                <w:highlight w:val="none"/>
              </w:rPr>
              <w:t>（4）投标人的信誉符合第二章“投标人须知前附表”附录3规定；</w:t>
            </w:r>
          </w:p>
          <w:p w14:paraId="5DDC3BAB">
            <w:pPr>
              <w:jc w:val="left"/>
              <w:rPr>
                <w:rFonts w:ascii="Times New Roman" w:hAnsi="Times New Roman" w:cs="Times New Roman"/>
                <w:color w:val="auto"/>
                <w:highlight w:val="none"/>
              </w:rPr>
            </w:pPr>
            <w:r>
              <w:rPr>
                <w:rFonts w:ascii="Times New Roman" w:hAnsi="Times New Roman" w:cs="Times New Roman"/>
                <w:color w:val="auto"/>
                <w:highlight w:val="none"/>
              </w:rPr>
              <w:t>（5）投标人的总监理工程师在岗情况符合第二章“投标人须知前附表”附录4规定；</w:t>
            </w:r>
          </w:p>
          <w:p w14:paraId="34B9E6E7">
            <w:pPr>
              <w:jc w:val="left"/>
              <w:rPr>
                <w:rFonts w:ascii="Times New Roman" w:hAnsi="Times New Roman" w:cs="Times New Roman"/>
                <w:color w:val="auto"/>
                <w:highlight w:val="none"/>
              </w:rPr>
            </w:pPr>
            <w:r>
              <w:rPr>
                <w:rFonts w:ascii="Times New Roman" w:hAnsi="Times New Roman" w:cs="Times New Roman"/>
                <w:color w:val="auto"/>
                <w:highlight w:val="none"/>
              </w:rPr>
              <w:t>（6）投标人的其他要求符合招标文件的规定；</w:t>
            </w:r>
          </w:p>
          <w:p w14:paraId="40F5F66E">
            <w:pPr>
              <w:jc w:val="left"/>
              <w:rPr>
                <w:rFonts w:ascii="Times New Roman" w:hAnsi="Times New Roman" w:cs="Times New Roman"/>
                <w:color w:val="auto"/>
                <w:highlight w:val="none"/>
              </w:rPr>
            </w:pPr>
            <w:r>
              <w:rPr>
                <w:rFonts w:ascii="Times New Roman" w:hAnsi="Times New Roman" w:cs="Times New Roman"/>
                <w:color w:val="auto"/>
                <w:highlight w:val="none"/>
              </w:rPr>
              <w:t>（7）投标人不存在第二章“投标人须知”第1.4.3项或第1.4.4项规定的任何一种情形；</w:t>
            </w:r>
          </w:p>
        </w:tc>
      </w:tr>
      <w:tr w14:paraId="0715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808" w:type="dxa"/>
            <w:gridSpan w:val="5"/>
            <w:vAlign w:val="center"/>
          </w:tcPr>
          <w:p w14:paraId="13114E02">
            <w:pPr>
              <w:jc w:val="center"/>
              <w:rPr>
                <w:rFonts w:ascii="Times New Roman" w:hAnsi="Times New Roman" w:cs="Times New Roman"/>
                <w:color w:val="auto"/>
                <w:szCs w:val="21"/>
                <w:highlight w:val="none"/>
              </w:rPr>
            </w:pPr>
            <w:r>
              <w:rPr>
                <w:rFonts w:ascii="Times New Roman" w:hAnsi="Times New Roman" w:cs="Times New Roman"/>
                <w:b/>
                <w:bCs/>
                <w:color w:val="auto"/>
                <w:szCs w:val="21"/>
                <w:highlight w:val="none"/>
              </w:rPr>
              <w:t>条款号</w:t>
            </w:r>
          </w:p>
        </w:tc>
        <w:tc>
          <w:tcPr>
            <w:tcW w:w="2059" w:type="dxa"/>
            <w:gridSpan w:val="2"/>
            <w:vAlign w:val="center"/>
          </w:tcPr>
          <w:p w14:paraId="0665D691">
            <w:pPr>
              <w:jc w:val="center"/>
              <w:rPr>
                <w:rFonts w:ascii="Times New Roman" w:hAnsi="Times New Roman" w:cs="Times New Roman"/>
                <w:color w:val="auto"/>
                <w:szCs w:val="21"/>
                <w:highlight w:val="none"/>
              </w:rPr>
            </w:pPr>
            <w:r>
              <w:rPr>
                <w:rFonts w:ascii="Times New Roman" w:hAnsi="Times New Roman" w:cs="Times New Roman"/>
                <w:b/>
                <w:bCs/>
                <w:color w:val="auto"/>
                <w:szCs w:val="21"/>
                <w:highlight w:val="none"/>
              </w:rPr>
              <w:t>条款内容</w:t>
            </w:r>
          </w:p>
        </w:tc>
        <w:tc>
          <w:tcPr>
            <w:tcW w:w="5313" w:type="dxa"/>
            <w:gridSpan w:val="3"/>
            <w:vAlign w:val="center"/>
          </w:tcPr>
          <w:p w14:paraId="006229E6">
            <w:pPr>
              <w:jc w:val="center"/>
              <w:rPr>
                <w:rFonts w:ascii="Times New Roman" w:hAnsi="Times New Roman" w:cs="Times New Roman"/>
                <w:color w:val="auto"/>
                <w:szCs w:val="21"/>
                <w:highlight w:val="none"/>
              </w:rPr>
            </w:pPr>
            <w:r>
              <w:rPr>
                <w:rFonts w:ascii="Times New Roman" w:hAnsi="Times New Roman" w:cs="Times New Roman"/>
                <w:b/>
                <w:bCs/>
                <w:color w:val="auto"/>
                <w:szCs w:val="21"/>
                <w:highlight w:val="none"/>
              </w:rPr>
              <w:t>编列内容</w:t>
            </w:r>
          </w:p>
        </w:tc>
      </w:tr>
      <w:tr w14:paraId="2056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1808" w:type="dxa"/>
            <w:gridSpan w:val="5"/>
            <w:vAlign w:val="center"/>
          </w:tcPr>
          <w:p w14:paraId="55CA5AF4">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2.2.1</w:t>
            </w:r>
          </w:p>
        </w:tc>
        <w:tc>
          <w:tcPr>
            <w:tcW w:w="2059" w:type="dxa"/>
            <w:gridSpan w:val="2"/>
            <w:vAlign w:val="center"/>
          </w:tcPr>
          <w:p w14:paraId="3D937F5A">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分值构成</w:t>
            </w:r>
          </w:p>
          <w:p w14:paraId="3FE7A75E">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(总分100分 ）</w:t>
            </w:r>
          </w:p>
        </w:tc>
        <w:tc>
          <w:tcPr>
            <w:tcW w:w="5313" w:type="dxa"/>
            <w:gridSpan w:val="3"/>
            <w:vAlign w:val="center"/>
          </w:tcPr>
          <w:p w14:paraId="382F1BC9">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第一个信封（商务及技术文件）评分分值构成：</w:t>
            </w:r>
          </w:p>
          <w:p w14:paraId="5F6B4ECA">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技术建议书：</w:t>
            </w:r>
            <w:r>
              <w:rPr>
                <w:rFonts w:hint="eastAsia" w:ascii="仿宋" w:hAnsi="仿宋" w:eastAsia="仿宋" w:cs="仿宋"/>
                <w:color w:val="auto"/>
                <w:sz w:val="28"/>
                <w:szCs w:val="28"/>
                <w:highlight w:val="none"/>
                <w:u w:val="single"/>
              </w:rPr>
              <w:t xml:space="preserve"> 3</w:t>
            </w:r>
            <w:r>
              <w:rPr>
                <w:rFonts w:hint="eastAsia" w:ascii="仿宋" w:hAnsi="仿宋" w:eastAsia="仿宋" w:cs="仿宋"/>
                <w:color w:val="auto"/>
                <w:sz w:val="28"/>
                <w:szCs w:val="28"/>
                <w:highlight w:val="none"/>
                <w:u w:val="single"/>
                <w:lang w:val="en-US" w:eastAsia="zh-CN"/>
              </w:rPr>
              <w:t>4</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分</w:t>
            </w:r>
          </w:p>
          <w:p w14:paraId="4E31ABE3">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主要人员：</w:t>
            </w:r>
            <w:r>
              <w:rPr>
                <w:rFonts w:hint="eastAsia" w:ascii="仿宋" w:hAnsi="仿宋" w:eastAsia="仿宋" w:cs="仿宋"/>
                <w:color w:val="auto"/>
                <w:sz w:val="28"/>
                <w:szCs w:val="28"/>
                <w:highlight w:val="none"/>
                <w:u w:val="single"/>
              </w:rPr>
              <w:t xml:space="preserve">  25  </w:t>
            </w:r>
            <w:r>
              <w:rPr>
                <w:rFonts w:hint="eastAsia" w:ascii="仿宋" w:hAnsi="仿宋" w:eastAsia="仿宋" w:cs="仿宋"/>
                <w:color w:val="auto"/>
                <w:sz w:val="28"/>
                <w:szCs w:val="28"/>
                <w:highlight w:val="none"/>
              </w:rPr>
              <w:t>分</w:t>
            </w:r>
          </w:p>
          <w:p w14:paraId="3DBBBC20">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业绩：</w:t>
            </w:r>
            <w:r>
              <w:rPr>
                <w:rFonts w:hint="eastAsia" w:ascii="仿宋" w:hAnsi="仿宋" w:eastAsia="仿宋" w:cs="仿宋"/>
                <w:color w:val="auto"/>
                <w:sz w:val="28"/>
                <w:szCs w:val="28"/>
                <w:highlight w:val="none"/>
                <w:u w:val="single"/>
              </w:rPr>
              <w:t xml:space="preserve"> 25 </w:t>
            </w:r>
            <w:r>
              <w:rPr>
                <w:rFonts w:hint="eastAsia" w:ascii="仿宋" w:hAnsi="仿宋" w:eastAsia="仿宋" w:cs="仿宋"/>
                <w:color w:val="auto"/>
                <w:sz w:val="28"/>
                <w:szCs w:val="28"/>
                <w:highlight w:val="none"/>
              </w:rPr>
              <w:t>分</w:t>
            </w:r>
          </w:p>
          <w:p w14:paraId="69546BFF">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履约信誉：</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分</w:t>
            </w:r>
          </w:p>
          <w:p w14:paraId="48BE8BA7">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第二个信封（报价文件）评分分值构成：</w:t>
            </w:r>
          </w:p>
          <w:p w14:paraId="62F619DE">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评标价：</w:t>
            </w:r>
            <w:r>
              <w:rPr>
                <w:rFonts w:hint="eastAsia" w:ascii="仿宋" w:hAnsi="仿宋" w:eastAsia="仿宋" w:cs="仿宋"/>
                <w:color w:val="auto"/>
                <w:sz w:val="28"/>
                <w:szCs w:val="28"/>
                <w:highlight w:val="none"/>
                <w:u w:val="single"/>
              </w:rPr>
              <w:t xml:space="preserve">  10  </w:t>
            </w:r>
            <w:r>
              <w:rPr>
                <w:rFonts w:hint="eastAsia" w:ascii="仿宋" w:hAnsi="仿宋" w:eastAsia="仿宋" w:cs="仿宋"/>
                <w:color w:val="auto"/>
                <w:sz w:val="28"/>
                <w:szCs w:val="28"/>
                <w:highlight w:val="none"/>
              </w:rPr>
              <w:t>分</w:t>
            </w:r>
          </w:p>
        </w:tc>
      </w:tr>
      <w:tr w14:paraId="4DD2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8" w:type="dxa"/>
            <w:gridSpan w:val="5"/>
            <w:vAlign w:val="center"/>
          </w:tcPr>
          <w:p w14:paraId="43C18A7B">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2.2.2</w:t>
            </w:r>
          </w:p>
        </w:tc>
        <w:tc>
          <w:tcPr>
            <w:tcW w:w="2059" w:type="dxa"/>
            <w:gridSpan w:val="2"/>
            <w:vAlign w:val="center"/>
          </w:tcPr>
          <w:p w14:paraId="7EDF207B">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评标基准价计算方法</w:t>
            </w:r>
          </w:p>
        </w:tc>
        <w:tc>
          <w:tcPr>
            <w:tcW w:w="5313" w:type="dxa"/>
            <w:gridSpan w:val="3"/>
            <w:vAlign w:val="center"/>
          </w:tcPr>
          <w:p w14:paraId="52B8888A">
            <w:pPr>
              <w:widowControl/>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在开标现场，代理机构将当场计算并宣布评标基准价。 </w:t>
            </w:r>
          </w:p>
          <w:p w14:paraId="54C3E49D">
            <w:pPr>
              <w:widowControl/>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（1）评标价的确定： </w:t>
            </w:r>
          </w:p>
          <w:p w14:paraId="28302C35">
            <w:pPr>
              <w:widowControl/>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评标价＝投标函文字报价 </w:t>
            </w:r>
          </w:p>
          <w:p w14:paraId="123C8FE5">
            <w:pPr>
              <w:widowControl/>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（2）评标价平均值的计算： </w:t>
            </w:r>
          </w:p>
          <w:p w14:paraId="0ABBE566">
            <w:pPr>
              <w:widowControl/>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除按第二章“投标人须知”第 5.2.4 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 </w:t>
            </w:r>
          </w:p>
          <w:p w14:paraId="47AE0FFF">
            <w:pPr>
              <w:widowControl/>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 xml:space="preserve">（3）评标基准价的确定： </w:t>
            </w:r>
          </w:p>
          <w:p w14:paraId="11E2FCF2">
            <w:pPr>
              <w:widowControl/>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将评标价平均值直接作为评标基准价</w:t>
            </w:r>
          </w:p>
          <w:p w14:paraId="281A057D">
            <w:pPr>
              <w:ind w:firstLine="42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评标基准价保留小数点后两位，小数点后第三位“四舍五入”。</w:t>
            </w:r>
          </w:p>
        </w:tc>
      </w:tr>
      <w:tr w14:paraId="7EC6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808" w:type="dxa"/>
            <w:gridSpan w:val="5"/>
            <w:vAlign w:val="center"/>
          </w:tcPr>
          <w:p w14:paraId="644549CD">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2.2.3</w:t>
            </w:r>
          </w:p>
        </w:tc>
        <w:tc>
          <w:tcPr>
            <w:tcW w:w="2059" w:type="dxa"/>
            <w:gridSpan w:val="2"/>
            <w:vAlign w:val="center"/>
          </w:tcPr>
          <w:p w14:paraId="31EAEE2D">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投标报价的偏差率</w:t>
            </w:r>
          </w:p>
          <w:p w14:paraId="30321CBE">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计算公式</w:t>
            </w:r>
          </w:p>
        </w:tc>
        <w:tc>
          <w:tcPr>
            <w:tcW w:w="5313" w:type="dxa"/>
            <w:gridSpan w:val="3"/>
            <w:vAlign w:val="center"/>
          </w:tcPr>
          <w:p w14:paraId="4248F395">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偏差率=（Di-P）/P×100%</w:t>
            </w:r>
          </w:p>
          <w:p w14:paraId="735F27C4">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式中：Di—投标人的投标报价；</w:t>
            </w:r>
          </w:p>
          <w:p w14:paraId="6E561E19">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P—评标基准价。</w:t>
            </w:r>
          </w:p>
          <w:p w14:paraId="4853F650">
            <w:pPr>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偏差率保留2位小数</w:t>
            </w:r>
          </w:p>
        </w:tc>
      </w:tr>
      <w:tr w14:paraId="542C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64" w:type="dxa"/>
            <w:vMerge w:val="restart"/>
            <w:vAlign w:val="center"/>
          </w:tcPr>
          <w:p w14:paraId="18BD6E45">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条款号</w:t>
            </w:r>
          </w:p>
        </w:tc>
        <w:tc>
          <w:tcPr>
            <w:tcW w:w="4900" w:type="dxa"/>
            <w:gridSpan w:val="8"/>
            <w:vAlign w:val="center"/>
          </w:tcPr>
          <w:p w14:paraId="43DC7B83">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评分因素与权重分值</w:t>
            </w:r>
          </w:p>
        </w:tc>
        <w:tc>
          <w:tcPr>
            <w:tcW w:w="3616" w:type="dxa"/>
            <w:vMerge w:val="restart"/>
            <w:vAlign w:val="center"/>
          </w:tcPr>
          <w:p w14:paraId="03FB2C30">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评分标准</w:t>
            </w:r>
          </w:p>
        </w:tc>
      </w:tr>
      <w:tr w14:paraId="0BD6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64" w:type="dxa"/>
            <w:vMerge w:val="continue"/>
            <w:vAlign w:val="center"/>
          </w:tcPr>
          <w:p w14:paraId="38EC904C">
            <w:pPr>
              <w:jc w:val="center"/>
              <w:rPr>
                <w:rFonts w:hint="eastAsia" w:ascii="仿宋" w:hAnsi="仿宋" w:eastAsia="仿宋" w:cs="仿宋"/>
                <w:b/>
                <w:color w:val="auto"/>
                <w:sz w:val="28"/>
                <w:szCs w:val="28"/>
                <w:highlight w:val="none"/>
              </w:rPr>
            </w:pPr>
          </w:p>
        </w:tc>
        <w:tc>
          <w:tcPr>
            <w:tcW w:w="1004" w:type="dxa"/>
            <w:gridSpan w:val="3"/>
            <w:vAlign w:val="center"/>
          </w:tcPr>
          <w:p w14:paraId="51014A8E">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评分</w:t>
            </w:r>
          </w:p>
          <w:p w14:paraId="4C31EFA1">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因素</w:t>
            </w:r>
          </w:p>
        </w:tc>
        <w:tc>
          <w:tcPr>
            <w:tcW w:w="696" w:type="dxa"/>
            <w:gridSpan w:val="2"/>
            <w:vAlign w:val="center"/>
          </w:tcPr>
          <w:p w14:paraId="2C97379C">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评分因素权重分值</w:t>
            </w:r>
          </w:p>
        </w:tc>
        <w:tc>
          <w:tcPr>
            <w:tcW w:w="2053" w:type="dxa"/>
            <w:gridSpan w:val="2"/>
            <w:vAlign w:val="center"/>
          </w:tcPr>
          <w:p w14:paraId="284FEF66">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各评分因素细分项</w:t>
            </w:r>
          </w:p>
        </w:tc>
        <w:tc>
          <w:tcPr>
            <w:tcW w:w="1147" w:type="dxa"/>
            <w:vAlign w:val="center"/>
          </w:tcPr>
          <w:p w14:paraId="435936FF">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分值</w:t>
            </w:r>
          </w:p>
        </w:tc>
        <w:tc>
          <w:tcPr>
            <w:tcW w:w="3616" w:type="dxa"/>
            <w:vMerge w:val="continue"/>
            <w:vAlign w:val="center"/>
          </w:tcPr>
          <w:p w14:paraId="46E2FFAC">
            <w:pPr>
              <w:jc w:val="center"/>
              <w:rPr>
                <w:rFonts w:hint="eastAsia" w:ascii="仿宋" w:hAnsi="仿宋" w:eastAsia="仿宋" w:cs="仿宋"/>
                <w:b/>
                <w:color w:val="auto"/>
                <w:sz w:val="28"/>
                <w:szCs w:val="28"/>
                <w:highlight w:val="none"/>
              </w:rPr>
            </w:pPr>
          </w:p>
        </w:tc>
      </w:tr>
      <w:tr w14:paraId="652C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vMerge w:val="restart"/>
            <w:vAlign w:val="center"/>
          </w:tcPr>
          <w:p w14:paraId="5DB9A3E2">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2.2.4</w:t>
            </w:r>
          </w:p>
          <w:p w14:paraId="7A642304">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p>
        </w:tc>
        <w:tc>
          <w:tcPr>
            <w:tcW w:w="1004" w:type="dxa"/>
            <w:gridSpan w:val="3"/>
            <w:vMerge w:val="restart"/>
            <w:vAlign w:val="center"/>
          </w:tcPr>
          <w:p w14:paraId="5D1E606C">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技术建议书</w:t>
            </w:r>
          </w:p>
        </w:tc>
        <w:tc>
          <w:tcPr>
            <w:tcW w:w="696" w:type="dxa"/>
            <w:gridSpan w:val="2"/>
            <w:vMerge w:val="restart"/>
            <w:vAlign w:val="center"/>
          </w:tcPr>
          <w:p w14:paraId="11768033">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tc>
        <w:tc>
          <w:tcPr>
            <w:tcW w:w="2053" w:type="dxa"/>
            <w:gridSpan w:val="2"/>
            <w:shd w:val="clear" w:color="auto" w:fill="auto"/>
            <w:vAlign w:val="center"/>
          </w:tcPr>
          <w:p w14:paraId="37C8C11B">
            <w:pPr>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监理大纲及措施</w:t>
            </w:r>
          </w:p>
        </w:tc>
        <w:tc>
          <w:tcPr>
            <w:tcW w:w="1147" w:type="dxa"/>
            <w:shd w:val="clear" w:color="auto" w:fill="auto"/>
            <w:vAlign w:val="center"/>
          </w:tcPr>
          <w:p w14:paraId="1D3CB6DF">
            <w:pPr>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5分</w:t>
            </w:r>
          </w:p>
        </w:tc>
        <w:tc>
          <w:tcPr>
            <w:tcW w:w="3616" w:type="dxa"/>
            <w:shd w:val="clear" w:color="auto" w:fill="auto"/>
            <w:vAlign w:val="center"/>
          </w:tcPr>
          <w:p w14:paraId="571E9E2C">
            <w:pPr>
              <w:keepNext w:val="0"/>
              <w:keepLines w:val="0"/>
              <w:widowControl/>
              <w:suppressLineNumbers w:val="0"/>
              <w:jc w:val="left"/>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监理大纲和措施制定得当有序、合理可行得3～5分，基本合理可行得1～3分。</w:t>
            </w:r>
          </w:p>
        </w:tc>
      </w:tr>
      <w:tr w14:paraId="7A37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vMerge w:val="continue"/>
            <w:vAlign w:val="center"/>
          </w:tcPr>
          <w:p w14:paraId="52025182">
            <w:pPr>
              <w:jc w:val="center"/>
              <w:rPr>
                <w:rFonts w:hint="eastAsia" w:ascii="仿宋" w:hAnsi="仿宋" w:eastAsia="仿宋" w:cs="仿宋"/>
                <w:color w:val="auto"/>
                <w:sz w:val="28"/>
                <w:szCs w:val="28"/>
                <w:highlight w:val="none"/>
              </w:rPr>
            </w:pPr>
          </w:p>
        </w:tc>
        <w:tc>
          <w:tcPr>
            <w:tcW w:w="1004" w:type="dxa"/>
            <w:gridSpan w:val="3"/>
            <w:vMerge w:val="continue"/>
            <w:vAlign w:val="center"/>
          </w:tcPr>
          <w:p w14:paraId="23DD40E1">
            <w:pPr>
              <w:jc w:val="center"/>
              <w:rPr>
                <w:rFonts w:hint="eastAsia" w:ascii="仿宋" w:hAnsi="仿宋" w:eastAsia="仿宋" w:cs="仿宋"/>
                <w:color w:val="auto"/>
                <w:sz w:val="28"/>
                <w:szCs w:val="28"/>
                <w:highlight w:val="none"/>
              </w:rPr>
            </w:pPr>
          </w:p>
        </w:tc>
        <w:tc>
          <w:tcPr>
            <w:tcW w:w="696" w:type="dxa"/>
            <w:gridSpan w:val="2"/>
            <w:vMerge w:val="continue"/>
            <w:vAlign w:val="center"/>
          </w:tcPr>
          <w:p w14:paraId="49AFB4EB">
            <w:pPr>
              <w:jc w:val="center"/>
              <w:rPr>
                <w:rFonts w:hint="eastAsia" w:ascii="仿宋" w:hAnsi="仿宋" w:eastAsia="仿宋" w:cs="仿宋"/>
                <w:color w:val="auto"/>
                <w:sz w:val="28"/>
                <w:szCs w:val="28"/>
                <w:highlight w:val="none"/>
              </w:rPr>
            </w:pPr>
          </w:p>
        </w:tc>
        <w:tc>
          <w:tcPr>
            <w:tcW w:w="2053" w:type="dxa"/>
            <w:gridSpan w:val="2"/>
            <w:shd w:val="clear" w:color="auto" w:fill="auto"/>
            <w:vAlign w:val="center"/>
          </w:tcPr>
          <w:p w14:paraId="5E443846">
            <w:pPr>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rPr>
              <w:t>主要监理工作范围</w:t>
            </w:r>
          </w:p>
        </w:tc>
        <w:tc>
          <w:tcPr>
            <w:tcW w:w="1147" w:type="dxa"/>
            <w:shd w:val="clear" w:color="auto" w:fill="auto"/>
            <w:vAlign w:val="center"/>
          </w:tcPr>
          <w:p w14:paraId="2AA0787E">
            <w:pPr>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tc>
        <w:tc>
          <w:tcPr>
            <w:tcW w:w="3616" w:type="dxa"/>
            <w:shd w:val="clear" w:color="auto" w:fill="auto"/>
            <w:vAlign w:val="center"/>
          </w:tcPr>
          <w:p w14:paraId="765B814F">
            <w:pPr>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rPr>
              <w:t>工作安排及人员职责明确、可行得</w:t>
            </w:r>
            <w:r>
              <w:rPr>
                <w:rFonts w:hint="eastAsia" w:ascii="仿宋" w:hAnsi="仿宋" w:eastAsia="仿宋" w:cs="仿宋"/>
                <w:i w:val="0"/>
                <w:iCs w:val="0"/>
                <w:color w:val="auto"/>
                <w:kern w:val="0"/>
                <w:sz w:val="28"/>
                <w:szCs w:val="28"/>
                <w:highlight w:val="none"/>
                <w:u w:val="none"/>
                <w:lang w:val="en-US" w:eastAsia="zh-CN" w:bidi="ar"/>
              </w:rPr>
              <w:t>3～5</w:t>
            </w:r>
            <w:r>
              <w:rPr>
                <w:rFonts w:hint="eastAsia" w:ascii="仿宋" w:hAnsi="仿宋" w:eastAsia="仿宋" w:cs="仿宋"/>
                <w:color w:val="auto"/>
                <w:sz w:val="28"/>
                <w:szCs w:val="28"/>
                <w:highlight w:val="none"/>
              </w:rPr>
              <w:t>分，基本明确、可行得</w:t>
            </w:r>
            <w:r>
              <w:rPr>
                <w:rFonts w:hint="eastAsia" w:ascii="仿宋" w:hAnsi="仿宋" w:eastAsia="仿宋" w:cs="仿宋"/>
                <w:i w:val="0"/>
                <w:iCs w:val="0"/>
                <w:color w:val="auto"/>
                <w:kern w:val="0"/>
                <w:sz w:val="28"/>
                <w:szCs w:val="28"/>
                <w:highlight w:val="none"/>
                <w:u w:val="none"/>
                <w:lang w:val="en-US" w:eastAsia="zh-CN" w:bidi="ar"/>
              </w:rPr>
              <w:t>1～3</w:t>
            </w:r>
            <w:r>
              <w:rPr>
                <w:rFonts w:hint="eastAsia" w:ascii="仿宋" w:hAnsi="仿宋" w:eastAsia="仿宋" w:cs="仿宋"/>
                <w:color w:val="auto"/>
                <w:sz w:val="28"/>
                <w:szCs w:val="28"/>
                <w:highlight w:val="none"/>
              </w:rPr>
              <w:t>分。</w:t>
            </w:r>
          </w:p>
        </w:tc>
      </w:tr>
      <w:tr w14:paraId="1776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vMerge w:val="continue"/>
            <w:vAlign w:val="center"/>
          </w:tcPr>
          <w:p w14:paraId="3F9F39AE">
            <w:pPr>
              <w:jc w:val="center"/>
              <w:rPr>
                <w:rFonts w:hint="eastAsia" w:ascii="仿宋" w:hAnsi="仿宋" w:eastAsia="仿宋" w:cs="仿宋"/>
                <w:color w:val="auto"/>
                <w:sz w:val="28"/>
                <w:szCs w:val="28"/>
                <w:highlight w:val="none"/>
              </w:rPr>
            </w:pPr>
          </w:p>
        </w:tc>
        <w:tc>
          <w:tcPr>
            <w:tcW w:w="1004" w:type="dxa"/>
            <w:gridSpan w:val="3"/>
            <w:vMerge w:val="continue"/>
            <w:vAlign w:val="center"/>
          </w:tcPr>
          <w:p w14:paraId="539CB0EF">
            <w:pPr>
              <w:jc w:val="center"/>
              <w:rPr>
                <w:rFonts w:hint="eastAsia" w:ascii="仿宋" w:hAnsi="仿宋" w:eastAsia="仿宋" w:cs="仿宋"/>
                <w:color w:val="auto"/>
                <w:sz w:val="28"/>
                <w:szCs w:val="28"/>
                <w:highlight w:val="none"/>
              </w:rPr>
            </w:pPr>
          </w:p>
        </w:tc>
        <w:tc>
          <w:tcPr>
            <w:tcW w:w="696" w:type="dxa"/>
            <w:gridSpan w:val="2"/>
            <w:vMerge w:val="continue"/>
            <w:vAlign w:val="center"/>
          </w:tcPr>
          <w:p w14:paraId="7589FE39">
            <w:pPr>
              <w:jc w:val="center"/>
              <w:rPr>
                <w:rFonts w:hint="eastAsia" w:ascii="仿宋" w:hAnsi="仿宋" w:eastAsia="仿宋" w:cs="仿宋"/>
                <w:color w:val="auto"/>
                <w:sz w:val="28"/>
                <w:szCs w:val="28"/>
                <w:highlight w:val="none"/>
              </w:rPr>
            </w:pPr>
          </w:p>
        </w:tc>
        <w:tc>
          <w:tcPr>
            <w:tcW w:w="2053" w:type="dxa"/>
            <w:gridSpan w:val="2"/>
            <w:shd w:val="clear" w:color="auto" w:fill="auto"/>
            <w:vAlign w:val="center"/>
          </w:tcPr>
          <w:p w14:paraId="2635DCA7">
            <w:pPr>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sz w:val="28"/>
                <w:szCs w:val="28"/>
                <w:highlight w:val="none"/>
              </w:rPr>
              <w:t>监理服务机构和程序</w:t>
            </w:r>
          </w:p>
        </w:tc>
        <w:tc>
          <w:tcPr>
            <w:tcW w:w="1147" w:type="dxa"/>
            <w:shd w:val="clear" w:color="auto" w:fill="auto"/>
            <w:vAlign w:val="center"/>
          </w:tcPr>
          <w:p w14:paraId="55225625">
            <w:pPr>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分</w:t>
            </w:r>
          </w:p>
        </w:tc>
        <w:tc>
          <w:tcPr>
            <w:tcW w:w="3616" w:type="dxa"/>
            <w:shd w:val="clear" w:color="auto" w:fill="auto"/>
            <w:vAlign w:val="center"/>
          </w:tcPr>
          <w:p w14:paraId="0EA13403">
            <w:pP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sz w:val="28"/>
                <w:szCs w:val="28"/>
                <w:highlight w:val="none"/>
              </w:rPr>
              <w:t>监理服务程序条理清晰、可行得</w:t>
            </w:r>
            <w:r>
              <w:rPr>
                <w:rFonts w:hint="eastAsia" w:ascii="仿宋" w:hAnsi="仿宋" w:eastAsia="仿宋" w:cs="仿宋"/>
                <w:i w:val="0"/>
                <w:iCs w:val="0"/>
                <w:color w:val="auto"/>
                <w:kern w:val="0"/>
                <w:sz w:val="28"/>
                <w:szCs w:val="28"/>
                <w:highlight w:val="none"/>
                <w:u w:val="none"/>
                <w:lang w:val="en-US" w:eastAsia="zh-CN" w:bidi="ar"/>
              </w:rPr>
              <w:t>3～5</w:t>
            </w:r>
            <w:r>
              <w:rPr>
                <w:rFonts w:hint="eastAsia" w:ascii="仿宋" w:hAnsi="仿宋" w:eastAsia="仿宋" w:cs="仿宋"/>
                <w:sz w:val="28"/>
                <w:szCs w:val="28"/>
                <w:highlight w:val="none"/>
              </w:rPr>
              <w:t>分，基本清晰、可行得</w:t>
            </w:r>
            <w:r>
              <w:rPr>
                <w:rFonts w:hint="eastAsia" w:ascii="仿宋" w:hAnsi="仿宋" w:eastAsia="仿宋" w:cs="仿宋"/>
                <w:i w:val="0"/>
                <w:iCs w:val="0"/>
                <w:color w:val="auto"/>
                <w:kern w:val="0"/>
                <w:sz w:val="28"/>
                <w:szCs w:val="28"/>
                <w:highlight w:val="none"/>
                <w:u w:val="none"/>
                <w:lang w:val="en-US" w:eastAsia="zh-CN" w:bidi="ar"/>
              </w:rPr>
              <w:t>1～3</w:t>
            </w:r>
            <w:r>
              <w:rPr>
                <w:rFonts w:hint="eastAsia" w:ascii="仿宋" w:hAnsi="仿宋" w:eastAsia="仿宋" w:cs="仿宋"/>
                <w:sz w:val="28"/>
                <w:szCs w:val="28"/>
                <w:highlight w:val="none"/>
              </w:rPr>
              <w:t>分。</w:t>
            </w:r>
          </w:p>
        </w:tc>
      </w:tr>
      <w:tr w14:paraId="39EB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vMerge w:val="continue"/>
            <w:vAlign w:val="center"/>
          </w:tcPr>
          <w:p w14:paraId="31FF0E80">
            <w:pPr>
              <w:jc w:val="center"/>
              <w:rPr>
                <w:rFonts w:hint="eastAsia" w:ascii="仿宋" w:hAnsi="仿宋" w:eastAsia="仿宋" w:cs="仿宋"/>
                <w:color w:val="auto"/>
                <w:sz w:val="28"/>
                <w:szCs w:val="28"/>
                <w:highlight w:val="none"/>
              </w:rPr>
            </w:pPr>
          </w:p>
        </w:tc>
        <w:tc>
          <w:tcPr>
            <w:tcW w:w="1004" w:type="dxa"/>
            <w:gridSpan w:val="3"/>
            <w:vMerge w:val="continue"/>
            <w:vAlign w:val="center"/>
          </w:tcPr>
          <w:p w14:paraId="1243077D">
            <w:pPr>
              <w:jc w:val="center"/>
              <w:rPr>
                <w:rFonts w:hint="eastAsia" w:ascii="仿宋" w:hAnsi="仿宋" w:eastAsia="仿宋" w:cs="仿宋"/>
                <w:color w:val="auto"/>
                <w:sz w:val="28"/>
                <w:szCs w:val="28"/>
                <w:highlight w:val="none"/>
              </w:rPr>
            </w:pPr>
          </w:p>
        </w:tc>
        <w:tc>
          <w:tcPr>
            <w:tcW w:w="696" w:type="dxa"/>
            <w:gridSpan w:val="2"/>
            <w:vMerge w:val="continue"/>
            <w:vAlign w:val="center"/>
          </w:tcPr>
          <w:p w14:paraId="64B31449">
            <w:pPr>
              <w:jc w:val="center"/>
              <w:rPr>
                <w:rFonts w:hint="eastAsia" w:ascii="仿宋" w:hAnsi="仿宋" w:eastAsia="仿宋" w:cs="仿宋"/>
                <w:color w:val="auto"/>
                <w:sz w:val="28"/>
                <w:szCs w:val="28"/>
                <w:highlight w:val="none"/>
              </w:rPr>
            </w:pPr>
          </w:p>
        </w:tc>
        <w:tc>
          <w:tcPr>
            <w:tcW w:w="2053" w:type="dxa"/>
            <w:gridSpan w:val="2"/>
            <w:shd w:val="clear" w:color="auto" w:fill="auto"/>
            <w:vAlign w:val="center"/>
          </w:tcPr>
          <w:p w14:paraId="169E3B77">
            <w:pPr>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质量控制、安全、环境管理</w:t>
            </w:r>
          </w:p>
        </w:tc>
        <w:tc>
          <w:tcPr>
            <w:tcW w:w="1147" w:type="dxa"/>
            <w:shd w:val="clear" w:color="auto" w:fill="auto"/>
            <w:vAlign w:val="center"/>
          </w:tcPr>
          <w:p w14:paraId="0CC23152">
            <w:pPr>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tc>
        <w:tc>
          <w:tcPr>
            <w:tcW w:w="3616" w:type="dxa"/>
            <w:shd w:val="clear" w:color="auto" w:fill="auto"/>
            <w:vAlign w:val="center"/>
          </w:tcPr>
          <w:p w14:paraId="237DAC75">
            <w:pPr>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质量控制办法和管理办法得力、可行得3～5分，基本得力、可行得1～3分。</w:t>
            </w:r>
          </w:p>
        </w:tc>
      </w:tr>
      <w:tr w14:paraId="09C3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vMerge w:val="continue"/>
            <w:vAlign w:val="center"/>
          </w:tcPr>
          <w:p w14:paraId="7D1C0BB0">
            <w:pPr>
              <w:jc w:val="center"/>
              <w:rPr>
                <w:rFonts w:hint="eastAsia" w:ascii="仿宋" w:hAnsi="仿宋" w:eastAsia="仿宋" w:cs="仿宋"/>
                <w:color w:val="auto"/>
                <w:sz w:val="28"/>
                <w:szCs w:val="28"/>
                <w:highlight w:val="none"/>
              </w:rPr>
            </w:pPr>
          </w:p>
        </w:tc>
        <w:tc>
          <w:tcPr>
            <w:tcW w:w="1004" w:type="dxa"/>
            <w:gridSpan w:val="3"/>
            <w:vMerge w:val="continue"/>
            <w:vAlign w:val="center"/>
          </w:tcPr>
          <w:p w14:paraId="42B7864F">
            <w:pPr>
              <w:jc w:val="center"/>
              <w:rPr>
                <w:rFonts w:hint="eastAsia" w:ascii="仿宋" w:hAnsi="仿宋" w:eastAsia="仿宋" w:cs="仿宋"/>
                <w:color w:val="auto"/>
                <w:sz w:val="28"/>
                <w:szCs w:val="28"/>
                <w:highlight w:val="none"/>
              </w:rPr>
            </w:pPr>
          </w:p>
        </w:tc>
        <w:tc>
          <w:tcPr>
            <w:tcW w:w="696" w:type="dxa"/>
            <w:gridSpan w:val="2"/>
            <w:vMerge w:val="continue"/>
            <w:vAlign w:val="center"/>
          </w:tcPr>
          <w:p w14:paraId="7742A389">
            <w:pPr>
              <w:jc w:val="center"/>
              <w:rPr>
                <w:rFonts w:hint="eastAsia" w:ascii="仿宋" w:hAnsi="仿宋" w:eastAsia="仿宋" w:cs="仿宋"/>
                <w:color w:val="auto"/>
                <w:sz w:val="28"/>
                <w:szCs w:val="28"/>
                <w:highlight w:val="none"/>
              </w:rPr>
            </w:pPr>
          </w:p>
        </w:tc>
        <w:tc>
          <w:tcPr>
            <w:tcW w:w="2053" w:type="dxa"/>
            <w:gridSpan w:val="2"/>
            <w:shd w:val="clear" w:color="auto" w:fill="auto"/>
            <w:vAlign w:val="center"/>
          </w:tcPr>
          <w:p w14:paraId="48E11DBD">
            <w:pPr>
              <w:keepNext w:val="0"/>
              <w:keepLines w:val="0"/>
              <w:widowControl/>
              <w:suppressLineNumbers w:val="0"/>
              <w:jc w:val="center"/>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铁路营业线施工专项监理管控方案</w:t>
            </w:r>
          </w:p>
        </w:tc>
        <w:tc>
          <w:tcPr>
            <w:tcW w:w="1147" w:type="dxa"/>
            <w:shd w:val="clear" w:color="auto" w:fill="auto"/>
            <w:vAlign w:val="center"/>
          </w:tcPr>
          <w:p w14:paraId="3556D708">
            <w:pPr>
              <w:keepNext w:val="0"/>
              <w:keepLines w:val="0"/>
              <w:widowControl/>
              <w:suppressLineNumbers w:val="0"/>
              <w:jc w:val="center"/>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tc>
        <w:tc>
          <w:tcPr>
            <w:tcW w:w="3616" w:type="dxa"/>
            <w:shd w:val="clear" w:color="auto" w:fill="auto"/>
            <w:vAlign w:val="center"/>
          </w:tcPr>
          <w:p w14:paraId="30529D11">
            <w:pPr>
              <w:keepNext w:val="0"/>
              <w:keepLines w:val="0"/>
              <w:widowControl/>
              <w:suppressLineNumbers w:val="0"/>
              <w:jc w:val="left"/>
              <w:textAlignment w:val="center"/>
              <w:rPr>
                <w:rFonts w:hint="eastAsia" w:ascii="仿宋" w:hAnsi="仿宋" w:eastAsia="仿宋" w:cs="仿宋"/>
                <w:i w:val="0"/>
                <w:iCs w:val="0"/>
                <w:color w:val="auto"/>
                <w:kern w:val="0"/>
                <w:sz w:val="28"/>
                <w:szCs w:val="28"/>
                <w:highlight w:val="none"/>
                <w:u w:val="none"/>
                <w:lang w:val="en-US" w:eastAsia="zh-CN" w:bidi="ar"/>
              </w:rPr>
            </w:pPr>
            <w:r>
              <w:rPr>
                <w:rFonts w:hint="eastAsia" w:ascii="仿宋" w:hAnsi="仿宋" w:eastAsia="仿宋" w:cs="仿宋"/>
                <w:i w:val="0"/>
                <w:iCs w:val="0"/>
                <w:color w:val="auto"/>
                <w:kern w:val="0"/>
                <w:sz w:val="28"/>
                <w:szCs w:val="28"/>
                <w:highlight w:val="none"/>
                <w:u w:val="none"/>
                <w:lang w:val="en-US" w:eastAsia="zh-CN" w:bidi="ar"/>
              </w:rPr>
              <w:t>针对本项目转体桥上跨宝成铁路、路堑上跨徐兰高铁两大涉铁工点的专项监理方案贴合工程实际，管控措施精准可落地，完全符合铁路营业线施工监管要求得3～5分，方案基本完整、措施基本可行得1～3分。</w:t>
            </w:r>
          </w:p>
        </w:tc>
      </w:tr>
      <w:tr w14:paraId="2132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vMerge w:val="continue"/>
            <w:vAlign w:val="center"/>
          </w:tcPr>
          <w:p w14:paraId="2B12A8BB">
            <w:pPr>
              <w:jc w:val="center"/>
              <w:rPr>
                <w:rFonts w:hint="eastAsia" w:ascii="仿宋" w:hAnsi="仿宋" w:eastAsia="仿宋" w:cs="仿宋"/>
                <w:color w:val="auto"/>
                <w:sz w:val="28"/>
                <w:szCs w:val="28"/>
                <w:highlight w:val="none"/>
              </w:rPr>
            </w:pPr>
          </w:p>
        </w:tc>
        <w:tc>
          <w:tcPr>
            <w:tcW w:w="1004" w:type="dxa"/>
            <w:gridSpan w:val="3"/>
            <w:vMerge w:val="continue"/>
            <w:vAlign w:val="center"/>
          </w:tcPr>
          <w:p w14:paraId="12CA414A">
            <w:pPr>
              <w:jc w:val="center"/>
              <w:rPr>
                <w:rFonts w:hint="eastAsia" w:ascii="仿宋" w:hAnsi="仿宋" w:eastAsia="仿宋" w:cs="仿宋"/>
                <w:color w:val="auto"/>
                <w:sz w:val="28"/>
                <w:szCs w:val="28"/>
                <w:highlight w:val="none"/>
              </w:rPr>
            </w:pPr>
          </w:p>
        </w:tc>
        <w:tc>
          <w:tcPr>
            <w:tcW w:w="696" w:type="dxa"/>
            <w:gridSpan w:val="2"/>
            <w:vMerge w:val="continue"/>
            <w:vAlign w:val="center"/>
          </w:tcPr>
          <w:p w14:paraId="1BF62BE7">
            <w:pPr>
              <w:jc w:val="center"/>
              <w:rPr>
                <w:rFonts w:hint="eastAsia" w:ascii="仿宋" w:hAnsi="仿宋" w:eastAsia="仿宋" w:cs="仿宋"/>
                <w:color w:val="auto"/>
                <w:sz w:val="28"/>
                <w:szCs w:val="28"/>
                <w:highlight w:val="none"/>
              </w:rPr>
            </w:pPr>
          </w:p>
        </w:tc>
        <w:tc>
          <w:tcPr>
            <w:tcW w:w="2053" w:type="dxa"/>
            <w:gridSpan w:val="2"/>
            <w:shd w:val="clear" w:color="auto" w:fill="auto"/>
            <w:vAlign w:val="center"/>
          </w:tcPr>
          <w:p w14:paraId="2F14EE82">
            <w:pPr>
              <w:keepNext w:val="0"/>
              <w:keepLines w:val="0"/>
              <w:widowControl/>
              <w:suppressLineNumbers w:val="0"/>
              <w:jc w:val="center"/>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对本工程重点、难点分析</w:t>
            </w:r>
          </w:p>
        </w:tc>
        <w:tc>
          <w:tcPr>
            <w:tcW w:w="1147" w:type="dxa"/>
            <w:shd w:val="clear" w:color="auto" w:fill="auto"/>
            <w:vAlign w:val="center"/>
          </w:tcPr>
          <w:p w14:paraId="2A1D5E83">
            <w:pPr>
              <w:keepNext w:val="0"/>
              <w:keepLines w:val="0"/>
              <w:widowControl/>
              <w:suppressLineNumbers w:val="0"/>
              <w:jc w:val="center"/>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tc>
        <w:tc>
          <w:tcPr>
            <w:tcW w:w="3616" w:type="dxa"/>
            <w:shd w:val="clear" w:color="auto" w:fill="auto"/>
            <w:vAlign w:val="center"/>
          </w:tcPr>
          <w:p w14:paraId="3E27C499">
            <w:pPr>
              <w:keepNext w:val="0"/>
              <w:keepLines w:val="0"/>
              <w:widowControl/>
              <w:suppressLineNumbers w:val="0"/>
              <w:jc w:val="left"/>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重点、难点分析突出、鲜明，紧扣项目涉铁核心特点得3～5分，重点、难点分析一般得1～3分。</w:t>
            </w:r>
          </w:p>
        </w:tc>
      </w:tr>
      <w:tr w14:paraId="7B65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vMerge w:val="continue"/>
            <w:vAlign w:val="center"/>
          </w:tcPr>
          <w:p w14:paraId="7FF6DD39">
            <w:pPr>
              <w:jc w:val="center"/>
              <w:rPr>
                <w:rFonts w:hint="eastAsia" w:ascii="仿宋" w:hAnsi="仿宋" w:eastAsia="仿宋" w:cs="仿宋"/>
                <w:color w:val="auto"/>
                <w:sz w:val="28"/>
                <w:szCs w:val="28"/>
                <w:highlight w:val="none"/>
              </w:rPr>
            </w:pPr>
          </w:p>
        </w:tc>
        <w:tc>
          <w:tcPr>
            <w:tcW w:w="1004" w:type="dxa"/>
            <w:gridSpan w:val="3"/>
            <w:vMerge w:val="continue"/>
            <w:vAlign w:val="center"/>
          </w:tcPr>
          <w:p w14:paraId="7229C47D">
            <w:pPr>
              <w:jc w:val="center"/>
              <w:rPr>
                <w:rFonts w:hint="eastAsia" w:ascii="仿宋" w:hAnsi="仿宋" w:eastAsia="仿宋" w:cs="仿宋"/>
                <w:color w:val="auto"/>
                <w:sz w:val="28"/>
                <w:szCs w:val="28"/>
                <w:highlight w:val="none"/>
              </w:rPr>
            </w:pPr>
          </w:p>
        </w:tc>
        <w:tc>
          <w:tcPr>
            <w:tcW w:w="696" w:type="dxa"/>
            <w:gridSpan w:val="2"/>
            <w:vMerge w:val="continue"/>
            <w:vAlign w:val="center"/>
          </w:tcPr>
          <w:p w14:paraId="40BF4CA8">
            <w:pPr>
              <w:jc w:val="center"/>
              <w:rPr>
                <w:rFonts w:hint="eastAsia" w:ascii="仿宋" w:hAnsi="仿宋" w:eastAsia="仿宋" w:cs="仿宋"/>
                <w:color w:val="auto"/>
                <w:sz w:val="28"/>
                <w:szCs w:val="28"/>
                <w:highlight w:val="none"/>
              </w:rPr>
            </w:pPr>
          </w:p>
        </w:tc>
        <w:tc>
          <w:tcPr>
            <w:tcW w:w="2053" w:type="dxa"/>
            <w:gridSpan w:val="2"/>
            <w:shd w:val="clear" w:color="auto" w:fill="auto"/>
            <w:vAlign w:val="center"/>
          </w:tcPr>
          <w:p w14:paraId="6AAB066B">
            <w:pPr>
              <w:keepNext w:val="0"/>
              <w:keepLines w:val="0"/>
              <w:widowControl/>
              <w:suppressLineNumbers w:val="0"/>
              <w:jc w:val="center"/>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对本工程的建议</w:t>
            </w:r>
          </w:p>
        </w:tc>
        <w:tc>
          <w:tcPr>
            <w:tcW w:w="1147" w:type="dxa"/>
            <w:shd w:val="clear" w:color="auto" w:fill="auto"/>
            <w:vAlign w:val="center"/>
          </w:tcPr>
          <w:p w14:paraId="1CFD8815">
            <w:pPr>
              <w:keepNext w:val="0"/>
              <w:keepLines w:val="0"/>
              <w:widowControl/>
              <w:suppressLineNumbers w:val="0"/>
              <w:jc w:val="center"/>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tc>
        <w:tc>
          <w:tcPr>
            <w:tcW w:w="3616" w:type="dxa"/>
            <w:shd w:val="clear" w:color="auto" w:fill="auto"/>
            <w:vAlign w:val="center"/>
          </w:tcPr>
          <w:p w14:paraId="3908CA35">
            <w:pPr>
              <w:keepNext w:val="0"/>
              <w:keepLines w:val="0"/>
              <w:widowControl/>
              <w:suppressLineNumbers w:val="0"/>
              <w:jc w:val="left"/>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auto"/>
                <w:kern w:val="0"/>
                <w:sz w:val="28"/>
                <w:szCs w:val="28"/>
                <w:highlight w:val="none"/>
                <w:u w:val="none"/>
                <w:lang w:val="en-US" w:eastAsia="zh-CN" w:bidi="ar"/>
              </w:rPr>
              <w:t>建议合理、得当，贴合本项目属性得2～4分，建议一般得1～2分。</w:t>
            </w:r>
          </w:p>
        </w:tc>
      </w:tr>
      <w:tr w14:paraId="40F0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vAlign w:val="center"/>
          </w:tcPr>
          <w:p w14:paraId="170535A4">
            <w:pPr>
              <w:jc w:val="center"/>
              <w:rPr>
                <w:rFonts w:hint="eastAsia" w:ascii="仿宋" w:hAnsi="仿宋" w:eastAsia="仿宋" w:cs="仿宋"/>
                <w:color w:val="auto"/>
                <w:sz w:val="28"/>
                <w:szCs w:val="28"/>
                <w:highlight w:val="none"/>
              </w:rPr>
            </w:pPr>
          </w:p>
          <w:p w14:paraId="5800DB1A">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2.2.4（2）</w:t>
            </w:r>
          </w:p>
        </w:tc>
        <w:tc>
          <w:tcPr>
            <w:tcW w:w="1004" w:type="dxa"/>
            <w:gridSpan w:val="3"/>
            <w:vAlign w:val="center"/>
          </w:tcPr>
          <w:p w14:paraId="6035387B">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主要人员</w:t>
            </w:r>
          </w:p>
        </w:tc>
        <w:tc>
          <w:tcPr>
            <w:tcW w:w="696" w:type="dxa"/>
            <w:gridSpan w:val="2"/>
            <w:vAlign w:val="center"/>
          </w:tcPr>
          <w:p w14:paraId="2F8995AE">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25分</w:t>
            </w:r>
          </w:p>
        </w:tc>
        <w:tc>
          <w:tcPr>
            <w:tcW w:w="2053" w:type="dxa"/>
            <w:gridSpan w:val="2"/>
            <w:vAlign w:val="center"/>
          </w:tcPr>
          <w:p w14:paraId="1AACADEE">
            <w:pPr>
              <w:snapToGrid w:val="0"/>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总监理工程师</w:t>
            </w:r>
          </w:p>
        </w:tc>
        <w:tc>
          <w:tcPr>
            <w:tcW w:w="4763" w:type="dxa"/>
            <w:gridSpan w:val="2"/>
            <w:vAlign w:val="center"/>
          </w:tcPr>
          <w:p w14:paraId="3182E876">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通</w:t>
            </w:r>
            <w:r>
              <w:rPr>
                <w:rFonts w:hint="eastAsia" w:ascii="仿宋" w:hAnsi="仿宋" w:eastAsia="仿宋" w:cs="仿宋"/>
                <w:color w:val="auto"/>
                <w:sz w:val="28"/>
                <w:szCs w:val="28"/>
                <w:highlight w:val="none"/>
              </w:rPr>
              <w:t>过资格评审即得1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在满足业绩最低要求的基础上：</w:t>
            </w:r>
          </w:p>
          <w:p w14:paraId="50C1D474">
            <w:pPr>
              <w:numPr>
                <w:ilvl w:val="0"/>
                <w:numId w:val="0"/>
              </w:numP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每增加</w:t>
            </w:r>
            <w:r>
              <w:rPr>
                <w:rFonts w:hint="eastAsia" w:ascii="仿宋" w:hAnsi="仿宋" w:eastAsia="仿宋" w:cs="仿宋"/>
                <w:color w:val="auto"/>
                <w:sz w:val="28"/>
                <w:szCs w:val="28"/>
                <w:highlight w:val="none"/>
                <w:lang w:val="en-US" w:eastAsia="zh-CN"/>
              </w:rPr>
              <w:t>1个</w:t>
            </w:r>
            <w:r>
              <w:rPr>
                <w:rFonts w:hint="eastAsia" w:ascii="仿宋" w:hAnsi="仿宋" w:eastAsia="仿宋" w:cs="仿宋"/>
                <w:color w:val="auto"/>
                <w:sz w:val="28"/>
                <w:szCs w:val="28"/>
                <w:highlight w:val="none"/>
                <w:lang w:eastAsia="zh-CN"/>
              </w:rPr>
              <w:t>铁路营业线</w:t>
            </w:r>
            <w:r>
              <w:rPr>
                <w:rFonts w:hint="eastAsia" w:ascii="仿宋" w:hAnsi="仿宋" w:eastAsia="仿宋" w:cs="仿宋"/>
                <w:color w:val="auto"/>
                <w:sz w:val="28"/>
                <w:szCs w:val="28"/>
                <w:highlight w:val="none"/>
              </w:rPr>
              <w:t>（或邻近</w:t>
            </w:r>
            <w:r>
              <w:rPr>
                <w:rFonts w:hint="eastAsia" w:ascii="仿宋" w:hAnsi="仿宋" w:eastAsia="仿宋" w:cs="仿宋"/>
                <w:color w:val="auto"/>
                <w:sz w:val="28"/>
                <w:szCs w:val="28"/>
                <w:highlight w:val="none"/>
                <w:lang w:eastAsia="zh-CN"/>
              </w:rPr>
              <w:t>铁路营业线</w:t>
            </w:r>
            <w:r>
              <w:rPr>
                <w:rFonts w:hint="eastAsia" w:ascii="仿宋" w:hAnsi="仿宋" w:eastAsia="仿宋" w:cs="仿宋"/>
                <w:color w:val="auto"/>
                <w:sz w:val="28"/>
                <w:szCs w:val="28"/>
                <w:highlight w:val="none"/>
              </w:rPr>
              <w:t>）工程施工监理合同段总监理工程师任职业绩加5分；本项最多加</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val="en-US" w:eastAsia="zh-CN"/>
              </w:rPr>
              <w:t>（附合同协议书）</w:t>
            </w:r>
          </w:p>
          <w:p w14:paraId="774368DC">
            <w:pPr>
              <w:numPr>
                <w:ilvl w:val="0"/>
                <w:numId w:val="0"/>
              </w:numP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2、具有10年及以上年限工作经验加5分（工作年限以监理工程师证书颁发时间为准）</w:t>
            </w:r>
          </w:p>
          <w:p w14:paraId="26A7CA70">
            <w:pPr>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val="en-US" w:eastAsia="zh-CN"/>
              </w:rPr>
              <w:t>注：</w:t>
            </w:r>
            <w:r>
              <w:rPr>
                <w:rFonts w:hint="eastAsia" w:ascii="仿宋" w:hAnsi="仿宋" w:eastAsia="仿宋" w:cs="仿宋"/>
                <w:color w:val="auto"/>
                <w:sz w:val="28"/>
                <w:szCs w:val="28"/>
                <w:highlight w:val="none"/>
              </w:rPr>
              <w:t>企业业绩与总监理工程师业绩的同一业绩不重复计分。</w:t>
            </w:r>
          </w:p>
        </w:tc>
      </w:tr>
      <w:tr w14:paraId="4AAB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64" w:type="dxa"/>
            <w:vAlign w:val="center"/>
          </w:tcPr>
          <w:p w14:paraId="1AA06C34">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2.2.4（3）</w:t>
            </w:r>
          </w:p>
        </w:tc>
        <w:tc>
          <w:tcPr>
            <w:tcW w:w="1004" w:type="dxa"/>
            <w:gridSpan w:val="3"/>
            <w:vAlign w:val="center"/>
          </w:tcPr>
          <w:p w14:paraId="36C35C63">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评标价</w:t>
            </w:r>
          </w:p>
        </w:tc>
        <w:tc>
          <w:tcPr>
            <w:tcW w:w="696" w:type="dxa"/>
            <w:gridSpan w:val="2"/>
            <w:vAlign w:val="center"/>
          </w:tcPr>
          <w:p w14:paraId="60D34153">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10分</w:t>
            </w:r>
          </w:p>
        </w:tc>
        <w:tc>
          <w:tcPr>
            <w:tcW w:w="6816" w:type="dxa"/>
            <w:gridSpan w:val="4"/>
            <w:vAlign w:val="center"/>
          </w:tcPr>
          <w:p w14:paraId="125C0EF0">
            <w:pPr>
              <w:snapToGrid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评标价得分计算公式示例： </w:t>
            </w:r>
          </w:p>
          <w:p w14:paraId="59D15659">
            <w:pPr>
              <w:snapToGrid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(1)如果投标人的评标价&gt;评标基准价，则评标价得分＝10－偏差率×100× E1； </w:t>
            </w:r>
          </w:p>
          <w:p w14:paraId="757080FF">
            <w:pPr>
              <w:snapToGrid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(2)如果投标人的评标价≤评标基准价，则评标价得分＝10＋偏差率× 100× E2。 </w:t>
            </w:r>
          </w:p>
          <w:p w14:paraId="0755854B">
            <w:pPr>
              <w:widowControl w:val="0"/>
              <w:autoSpaceDE w:val="0"/>
              <w:autoSpaceDN w:val="0"/>
              <w:adjustRightInd w:val="0"/>
              <w:spacing w:line="240" w:lineRule="auto"/>
              <w:ind w:firstLine="162" w:firstLineChars="50"/>
              <w:jc w:val="both"/>
              <w:textAlignment w:val="baseline"/>
              <w:rPr>
                <w:rFonts w:hint="eastAsia" w:ascii="仿宋" w:hAnsi="仿宋" w:eastAsia="仿宋" w:cs="仿宋"/>
                <w:color w:val="auto"/>
                <w:spacing w:val="22"/>
                <w:kern w:val="0"/>
                <w:sz w:val="28"/>
                <w:szCs w:val="28"/>
                <w:highlight w:val="none"/>
                <w:lang w:val="en-US" w:eastAsia="zh-CN" w:bidi="ar-SA"/>
              </w:rPr>
            </w:pPr>
            <w:r>
              <w:rPr>
                <w:rFonts w:hint="eastAsia" w:ascii="仿宋" w:hAnsi="仿宋" w:eastAsia="仿宋" w:cs="仿宋"/>
                <w:color w:val="auto"/>
                <w:spacing w:val="22"/>
                <w:kern w:val="2"/>
                <w:sz w:val="28"/>
                <w:szCs w:val="28"/>
                <w:highlight w:val="none"/>
                <w:lang w:val="en-US" w:eastAsia="zh-CN" w:bidi="ar-SA"/>
              </w:rPr>
              <w:t>其中：其中：E</w:t>
            </w:r>
            <w:r>
              <w:rPr>
                <w:rFonts w:hint="eastAsia" w:ascii="仿宋" w:hAnsi="仿宋" w:eastAsia="仿宋" w:cs="仿宋"/>
                <w:color w:val="auto"/>
                <w:spacing w:val="22"/>
                <w:kern w:val="0"/>
                <w:sz w:val="28"/>
                <w:szCs w:val="28"/>
                <w:highlight w:val="none"/>
                <w:vertAlign w:val="subscript"/>
                <w:lang w:val="en-US" w:eastAsia="zh-CN" w:bidi="ar-SA"/>
              </w:rPr>
              <w:t>1</w:t>
            </w:r>
            <w:r>
              <w:rPr>
                <w:rFonts w:hint="eastAsia" w:ascii="仿宋" w:hAnsi="仿宋" w:eastAsia="仿宋" w:cs="仿宋"/>
                <w:color w:val="auto"/>
                <w:spacing w:val="22"/>
                <w:kern w:val="2"/>
                <w:sz w:val="28"/>
                <w:szCs w:val="28"/>
                <w:highlight w:val="none"/>
                <w:lang w:val="en-US" w:eastAsia="zh-CN" w:bidi="ar-SA"/>
              </w:rPr>
              <w:t>=0.2，是评标价每高于评标基准价一个百分点的扣分值；E</w:t>
            </w:r>
            <w:r>
              <w:rPr>
                <w:rFonts w:hint="eastAsia" w:ascii="仿宋" w:hAnsi="仿宋" w:eastAsia="仿宋" w:cs="仿宋"/>
                <w:color w:val="auto"/>
                <w:spacing w:val="22"/>
                <w:kern w:val="0"/>
                <w:sz w:val="28"/>
                <w:szCs w:val="28"/>
                <w:highlight w:val="none"/>
                <w:vertAlign w:val="subscript"/>
                <w:lang w:val="en-US" w:eastAsia="zh-CN" w:bidi="ar-SA"/>
              </w:rPr>
              <w:t>2</w:t>
            </w:r>
            <w:r>
              <w:rPr>
                <w:rFonts w:hint="eastAsia" w:ascii="仿宋" w:hAnsi="仿宋" w:eastAsia="仿宋" w:cs="仿宋"/>
                <w:color w:val="auto"/>
                <w:spacing w:val="22"/>
                <w:kern w:val="2"/>
                <w:sz w:val="28"/>
                <w:szCs w:val="28"/>
                <w:highlight w:val="none"/>
                <w:lang w:val="en-US" w:eastAsia="zh-CN" w:bidi="ar-SA"/>
              </w:rPr>
              <w:t>=0.1，是评标价每低于评标基准价一个百分点的扣分值；评标价得分分值保留小数点后两位，小数点后第三位“四舍五入”；评标价得分最低为0分。</w:t>
            </w:r>
          </w:p>
        </w:tc>
      </w:tr>
      <w:tr w14:paraId="48B5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664" w:type="dxa"/>
            <w:vMerge w:val="restart"/>
            <w:vAlign w:val="center"/>
          </w:tcPr>
          <w:p w14:paraId="6B2E141B">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2.2.4（4）</w:t>
            </w:r>
          </w:p>
        </w:tc>
        <w:tc>
          <w:tcPr>
            <w:tcW w:w="1004" w:type="dxa"/>
            <w:gridSpan w:val="3"/>
            <w:vAlign w:val="center"/>
          </w:tcPr>
          <w:p w14:paraId="52CC75D8">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业绩</w:t>
            </w:r>
          </w:p>
        </w:tc>
        <w:tc>
          <w:tcPr>
            <w:tcW w:w="696" w:type="dxa"/>
            <w:gridSpan w:val="2"/>
            <w:vAlign w:val="center"/>
          </w:tcPr>
          <w:p w14:paraId="6D11BB31">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25分</w:t>
            </w:r>
          </w:p>
        </w:tc>
        <w:tc>
          <w:tcPr>
            <w:tcW w:w="6816" w:type="dxa"/>
            <w:gridSpan w:val="4"/>
            <w:vAlign w:val="center"/>
          </w:tcPr>
          <w:p w14:paraId="4B8C23D3">
            <w:pPr>
              <w:numPr>
                <w:ilvl w:val="0"/>
                <w:numId w:val="0"/>
              </w:numP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通过资格评审即得15分。</w:t>
            </w:r>
          </w:p>
          <w:p w14:paraId="4104994A">
            <w:pPr>
              <w:numPr>
                <w:ilvl w:val="0"/>
                <w:numId w:val="0"/>
              </w:numP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满足资格审查条件之外，2021年1月至投标截止时间，每增加1个铁路营业线（或邻近铁路营业线）工程施工监理业绩加5分，最多加10分。（附合同协议书）</w:t>
            </w:r>
          </w:p>
          <w:p w14:paraId="0AF7C633">
            <w:pPr>
              <w:numPr>
                <w:ilvl w:val="0"/>
                <w:numId w:val="0"/>
              </w:numP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注：企业业绩与总监理工程师业绩的同一业绩不重复计分。</w:t>
            </w:r>
          </w:p>
          <w:p w14:paraId="0E86271F">
            <w:pPr>
              <w:numPr>
                <w:ilvl w:val="0"/>
                <w:numId w:val="0"/>
              </w:num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说明：业绩的完成和时间要求以交工日期为准。</w:t>
            </w:r>
          </w:p>
        </w:tc>
      </w:tr>
      <w:tr w14:paraId="0A3F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64" w:type="dxa"/>
            <w:vMerge w:val="continue"/>
            <w:vAlign w:val="center"/>
          </w:tcPr>
          <w:p w14:paraId="394784EA">
            <w:pPr>
              <w:jc w:val="center"/>
              <w:rPr>
                <w:rFonts w:hint="eastAsia" w:ascii="仿宋" w:hAnsi="仿宋" w:eastAsia="仿宋" w:cs="仿宋"/>
                <w:color w:val="auto"/>
                <w:sz w:val="28"/>
                <w:szCs w:val="28"/>
                <w:highlight w:val="none"/>
              </w:rPr>
            </w:pPr>
          </w:p>
        </w:tc>
        <w:tc>
          <w:tcPr>
            <w:tcW w:w="1004" w:type="dxa"/>
            <w:gridSpan w:val="3"/>
            <w:vAlign w:val="center"/>
          </w:tcPr>
          <w:p w14:paraId="1D4C18FB">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履约</w:t>
            </w:r>
          </w:p>
          <w:p w14:paraId="618EC97B">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信誉</w:t>
            </w:r>
          </w:p>
        </w:tc>
        <w:tc>
          <w:tcPr>
            <w:tcW w:w="696" w:type="dxa"/>
            <w:gridSpan w:val="2"/>
            <w:vAlign w:val="center"/>
          </w:tcPr>
          <w:p w14:paraId="2126887E">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分</w:t>
            </w:r>
          </w:p>
        </w:tc>
        <w:tc>
          <w:tcPr>
            <w:tcW w:w="6816" w:type="dxa"/>
            <w:gridSpan w:val="4"/>
            <w:vAlign w:val="center"/>
          </w:tcPr>
          <w:p w14:paraId="0DAC9E06">
            <w:pPr>
              <w:widowControl/>
              <w:autoSpaceDE/>
              <w:autoSpaceDN/>
              <w:adjustRightInd/>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具有有效的质量管理体系、环境管理体系、职业健康安全管理体系认证证书，每1个得2分，最多得6分。（提供证书复印件加盖单位公章）</w:t>
            </w:r>
          </w:p>
        </w:tc>
      </w:tr>
      <w:tr w14:paraId="4FFD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180" w:type="dxa"/>
            <w:gridSpan w:val="10"/>
            <w:vAlign w:val="center"/>
          </w:tcPr>
          <w:p w14:paraId="2433D571">
            <w:pPr>
              <w:widowControl w:val="0"/>
              <w:autoSpaceDE w:val="0"/>
              <w:autoSpaceDN w:val="0"/>
              <w:adjustRightInd w:val="0"/>
              <w:spacing w:line="240" w:lineRule="auto"/>
              <w:ind w:right="120" w:firstLine="75" w:firstLineChars="23"/>
              <w:jc w:val="left"/>
              <w:textAlignment w:val="baseline"/>
              <w:rPr>
                <w:rFonts w:hint="eastAsia" w:ascii="仿宋" w:hAnsi="仿宋" w:eastAsia="仿宋" w:cs="仿宋"/>
                <w:b/>
                <w:bCs/>
                <w:color w:val="auto"/>
                <w:spacing w:val="22"/>
                <w:kern w:val="0"/>
                <w:sz w:val="28"/>
                <w:szCs w:val="28"/>
                <w:highlight w:val="none"/>
                <w:lang w:val="en-US" w:eastAsia="zh-CN" w:bidi="ar-SA"/>
              </w:rPr>
            </w:pPr>
            <w:r>
              <w:rPr>
                <w:rFonts w:hint="eastAsia" w:ascii="仿宋" w:hAnsi="仿宋" w:eastAsia="仿宋" w:cs="仿宋"/>
                <w:b/>
                <w:color w:val="auto"/>
                <w:spacing w:val="22"/>
                <w:kern w:val="0"/>
                <w:sz w:val="28"/>
                <w:szCs w:val="28"/>
                <w:highlight w:val="none"/>
                <w:lang w:val="en-US" w:eastAsia="zh-CN" w:bidi="ar-SA"/>
              </w:rPr>
              <w:t>需补充的其他内容：</w:t>
            </w:r>
          </w:p>
        </w:tc>
      </w:tr>
      <w:tr w14:paraId="3026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664" w:type="dxa"/>
            <w:vAlign w:val="center"/>
          </w:tcPr>
          <w:p w14:paraId="614703D7">
            <w:pPr>
              <w:snapToGrid w:val="0"/>
              <w:spacing w:line="32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3.9.2</w:t>
            </w:r>
          </w:p>
        </w:tc>
        <w:tc>
          <w:tcPr>
            <w:tcW w:w="998" w:type="dxa"/>
            <w:gridSpan w:val="2"/>
            <w:vAlign w:val="center"/>
          </w:tcPr>
          <w:p w14:paraId="0FCCFD50">
            <w:pPr>
              <w:snapToGrid w:val="0"/>
              <w:spacing w:line="32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评标报告应载明的内容</w:t>
            </w:r>
          </w:p>
        </w:tc>
        <w:tc>
          <w:tcPr>
            <w:tcW w:w="7518" w:type="dxa"/>
            <w:gridSpan w:val="7"/>
            <w:vAlign w:val="center"/>
          </w:tcPr>
          <w:p w14:paraId="7B900B28">
            <w:pPr>
              <w:snapToGrid w:val="0"/>
              <w:spacing w:line="32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评标委员会审定评标结果后，向招标人提交书面报告。评标报告应如实记载下列内容：</w:t>
            </w:r>
          </w:p>
          <w:p w14:paraId="6CA2F4E6">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招标项目基本情况</w:t>
            </w:r>
          </w:p>
          <w:p w14:paraId="454E55AC">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评标委员会成员名单</w:t>
            </w:r>
          </w:p>
          <w:p w14:paraId="7825EC9A">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监督人员名单</w:t>
            </w:r>
          </w:p>
          <w:p w14:paraId="53CB8AF8">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开标记录</w:t>
            </w:r>
          </w:p>
          <w:p w14:paraId="58DDB514">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符合要求的投标人名单</w:t>
            </w:r>
          </w:p>
          <w:p w14:paraId="005E54A1">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否决的投标人名单以及否决理由</w:t>
            </w:r>
          </w:p>
          <w:p w14:paraId="5C0C5359">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串通投标情形的评审情况说明</w:t>
            </w:r>
          </w:p>
          <w:p w14:paraId="65E47C88">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评分情况</w:t>
            </w:r>
          </w:p>
          <w:p w14:paraId="56843B6D">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经评审的投标人排序</w:t>
            </w:r>
          </w:p>
          <w:p w14:paraId="69BB0787">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中标候选人名单</w:t>
            </w:r>
          </w:p>
          <w:p w14:paraId="47BE2525">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澄清、说明事项纪要</w:t>
            </w:r>
          </w:p>
          <w:p w14:paraId="7BDED7BE">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需要说明的其他事项</w:t>
            </w:r>
          </w:p>
          <w:p w14:paraId="0FA5853A">
            <w:pPr>
              <w:numPr>
                <w:ilvl w:val="0"/>
                <w:numId w:val="2"/>
              </w:numPr>
              <w:autoSpaceDE/>
              <w:autoSpaceDN/>
              <w:adjustRightInd/>
              <w:snapToGrid w:val="0"/>
              <w:spacing w:line="320" w:lineRule="exact"/>
              <w:ind w:left="0" w:firstLine="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评标附表</w:t>
            </w:r>
          </w:p>
          <w:p w14:paraId="531FBF54">
            <w:pPr>
              <w:snapToGrid w:val="0"/>
              <w:spacing w:line="32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附件1监理招标评标办法</w:t>
            </w:r>
          </w:p>
          <w:p w14:paraId="5091C8CC">
            <w:pPr>
              <w:snapToGrid w:val="0"/>
              <w:spacing w:line="32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附件2评标委员会成员名单</w:t>
            </w:r>
          </w:p>
          <w:p w14:paraId="310DC62F">
            <w:pPr>
              <w:snapToGrid w:val="0"/>
              <w:spacing w:line="32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附件3开标记录表</w:t>
            </w:r>
          </w:p>
          <w:p w14:paraId="7FA29C3D">
            <w:pPr>
              <w:snapToGrid w:val="0"/>
              <w:spacing w:line="32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附件4评审表</w:t>
            </w:r>
          </w:p>
        </w:tc>
      </w:tr>
    </w:tbl>
    <w:p w14:paraId="67622617">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1.评标方法</w:t>
      </w:r>
    </w:p>
    <w:p w14:paraId="5DD0D5C5">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次评标采用综合评估法。评标委员会对满足招标文件实质性要求并满足形式评审、响应性评审标准的投标文件，按规定评分标准进行打分，并按综合得分由高到低顺序推介中标候选人，但投标报价低于成本的除外。当综合评分相等时，按投标报价的得分依次排序。</w:t>
      </w:r>
    </w:p>
    <w:p w14:paraId="43CEE859">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2.评审标准</w:t>
      </w:r>
    </w:p>
    <w:p w14:paraId="1800ABD1">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2.1初步评审标准</w:t>
      </w:r>
    </w:p>
    <w:p w14:paraId="5593B40C">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2.1.1形式评审标准：见评标办法前附表。</w:t>
      </w:r>
    </w:p>
    <w:p w14:paraId="32804B4A">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2.1.2资格评审标准：见评标办法前附表。</w:t>
      </w:r>
    </w:p>
    <w:p w14:paraId="6DCC56B4">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2.1.3响应性评审标准：见评标办法前附表</w:t>
      </w:r>
    </w:p>
    <w:p w14:paraId="3D59DB00">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2.2分值构成与评分标准</w:t>
      </w:r>
    </w:p>
    <w:p w14:paraId="1ADF24C5">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2.2.1分值构成</w:t>
      </w:r>
    </w:p>
    <w:p w14:paraId="16F67326">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（1）技术建议书：见评标办法前附表；</w:t>
      </w:r>
    </w:p>
    <w:p w14:paraId="7A3FB50A">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（2）监理人员机构：见评标办法前附表；</w:t>
      </w:r>
    </w:p>
    <w:p w14:paraId="7B28C41B">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（3）评标价：见评标办法前附表；</w:t>
      </w:r>
    </w:p>
    <w:p w14:paraId="0023B371">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（4）其他评分因素：见评标办法前附表。</w:t>
      </w:r>
    </w:p>
    <w:p w14:paraId="041287DC">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2.2.2评标基准价计算</w:t>
      </w:r>
    </w:p>
    <w:p w14:paraId="5A6255A8">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评标基准价计算方法：见评标办法前附表。</w:t>
      </w:r>
    </w:p>
    <w:p w14:paraId="14B46172">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2.2.3评标价的偏差率计算</w:t>
      </w:r>
    </w:p>
    <w:p w14:paraId="339E87BA">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评标价的偏差率计算公式：见评标办法前附表。</w:t>
      </w:r>
    </w:p>
    <w:p w14:paraId="316071B3">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2.2.4评分标准</w:t>
      </w:r>
    </w:p>
    <w:p w14:paraId="284957F2">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（1）技术建议书评分标准：见评标办法前附表；</w:t>
      </w:r>
    </w:p>
    <w:p w14:paraId="5070A65A">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（2）主要人员评分标准：见评标办法前附表；</w:t>
      </w:r>
    </w:p>
    <w:p w14:paraId="0F08CF5B">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（3）评标价评分标准：见评标办法前附表；</w:t>
      </w:r>
    </w:p>
    <w:p w14:paraId="7BBF970C">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（4）其他因素评分标准：见评标办法前附表。</w:t>
      </w:r>
    </w:p>
    <w:p w14:paraId="679D1261">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3.评标程序</w:t>
      </w:r>
    </w:p>
    <w:p w14:paraId="59E32D2C">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3.1第一个信封初步评审</w:t>
      </w:r>
    </w:p>
    <w:p w14:paraId="475E5520">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3.1.1评标委员会可以要求投标人提交第二章“投标人须知”第3.4项规定的有关证明和证件的复印件加盖公章以便核验。评标委员会依据本章第2.1款规定的标准对投标文件第一个信封（商务及技术文件）进行初步评审。有一项不符合评审标准的，评标委员会应否决其投标。</w:t>
      </w:r>
    </w:p>
    <w:p w14:paraId="3F2156FF">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3.2第一个信封详细评审</w:t>
      </w:r>
    </w:p>
    <w:p w14:paraId="0155A7F3">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3.2.1评标委员会按本章第2.2款规定的量化因素和分值进行打分，并计算出各投标人的商务和技术得分。</w:t>
      </w:r>
    </w:p>
    <w:p w14:paraId="7687847E">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(1)按本章第2.2.4项(1)目规定的评审因素和分值对技术建议书部分计算出得分A；</w:t>
      </w:r>
    </w:p>
    <w:p w14:paraId="161ABD51">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(2)按本章第2.2.4项(2)目规定的评审因素和分值对人员计算出得分B；</w:t>
      </w:r>
    </w:p>
    <w:p w14:paraId="4C0A5AC1">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(3)按本章第2.2.4项(4)目规定的评审因素和分值对其他部分计算出得分C。</w:t>
      </w:r>
    </w:p>
    <w:p w14:paraId="64A342D3">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3.2.2投标人的商务和技术得分分值计算保留小数点后两位，小数点后第三位“四舍五入”。</w:t>
      </w:r>
    </w:p>
    <w:p w14:paraId="75F7346D">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3.2.3投标人的商务和技术得分A+B+C。</w:t>
      </w:r>
    </w:p>
    <w:p w14:paraId="7A5CA02D">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3.3第二个信封开标</w:t>
      </w:r>
    </w:p>
    <w:p w14:paraId="256E565F">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第一个信封（商务及技术文件）评审结束后，招标人将按照第二章“投标人须知”第5.1款规定的时间和地点对通过投标文件第一个信封（商务及技术文件）评审的投标文件第二个信封（报价文件）进行开标。</w:t>
      </w:r>
    </w:p>
    <w:p w14:paraId="60A9F0CB">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3.4第二个信封初步评审</w:t>
      </w:r>
    </w:p>
    <w:p w14:paraId="60FA6CEF">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3.4.1评标委员会依据本章第2.1.1项、第2.1.3项规定的评审标准对投标文件第二个信封（报价文件）进行初步评审。有一项不符合评审标准的，评标委员会应否决其投标。</w:t>
      </w:r>
    </w:p>
    <w:p w14:paraId="3F0B6556">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3.4.2投标报价有算术错误的，评标委员会按以下原则对投标报价进行修正，修正的价格经投标人书面确认后具有约束力。投标人不接受修正价格的，评标委员会应否决其投标。</w:t>
      </w:r>
    </w:p>
    <w:p w14:paraId="6CC42B34">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（1）投标文件中的大写金额与小写金额不一致的，以大写金额为准；</w:t>
      </w:r>
    </w:p>
    <w:p w14:paraId="06BFCF08">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（2）总价金额与依据单价计算出的结果不一致的，以单价金额为准修正总价，但单价金额小数点有明显错误的除外；</w:t>
      </w:r>
    </w:p>
    <w:p w14:paraId="33CE157D">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（3）当单价与数量相乘不等于合价时，以单价计算为准，如果单价有明显的小数点位置差错，应以标出的合价为准，同时对单价予以修正；</w:t>
      </w:r>
    </w:p>
    <w:p w14:paraId="0372DE12">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（4）当各子目的合价累计不等于总价时，应以各子目合价累计数为准，修正总价。</w:t>
      </w:r>
    </w:p>
    <w:p w14:paraId="777177C0">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3.4.3修正后的最终投标报价若超过最高投标限价（如有），评标委员会应否决其投标。</w:t>
      </w:r>
    </w:p>
    <w:p w14:paraId="1BCA6FD0">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3.4.4修正后的最终投标报价仅作为签订合同的一个依据，不参与评标价得分的计算。</w:t>
      </w:r>
    </w:p>
    <w:p w14:paraId="5200B872">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3.5第二个信封详细评审</w:t>
      </w:r>
    </w:p>
    <w:p w14:paraId="578B9788">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3.5.1评标委员会按本章第2.2.4项（3）目规定的评审因素和分值对评标价计算出得分D。评标价得分分值计算保留小数点后两位，小数点后第三位“四舍五入”。</w:t>
      </w:r>
    </w:p>
    <w:p w14:paraId="620746F2">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3.5.2投标人综合得分=投标人的商务和技术得分＋D。</w:t>
      </w:r>
    </w:p>
    <w:p w14:paraId="26850CB7">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3.5.3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14:paraId="48D63E53">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3.6投标文件相关信息的核查</w:t>
      </w:r>
    </w:p>
    <w:p w14:paraId="0E6EEF03">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3.6.1在评标过程中，评标委员会应对投标人的资质、业绩、主要人员资历和目前在岗情况信用等级等信息进行核实。若投标人的资格条件不符合招标文件规定的，评标委员会应否决其投标。</w:t>
      </w:r>
    </w:p>
    <w:p w14:paraId="0626DE37">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6C03E0D0">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（1）有下列情形之一的，属于投标人相互串通投标：</w:t>
      </w:r>
    </w:p>
    <w:p w14:paraId="594526C8">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a.投标人之间协商投标报价等投标文件的实质性内容；</w:t>
      </w:r>
    </w:p>
    <w:p w14:paraId="6D232377">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b.投标人之间约定中标人；</w:t>
      </w:r>
    </w:p>
    <w:p w14:paraId="06CAD1FC">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c.投标人之间约定部分投标人放弃投标或中标；</w:t>
      </w:r>
    </w:p>
    <w:p w14:paraId="5A9387C2">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d.属于同一集团、协会、商会等组织成员的投标人按照该组织要求协同投标；</w:t>
      </w:r>
    </w:p>
    <w:p w14:paraId="48E74C9B">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e.投标人之间为谋取中标或排斥特定投标人而采取的其他联合行动。</w:t>
      </w:r>
    </w:p>
    <w:p w14:paraId="70AA41B8">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（2）有下列情形之一的，视为投标人相互串通投标：</w:t>
      </w:r>
    </w:p>
    <w:p w14:paraId="00548FB6">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a.不同投标人的投标文件由同一单位或个人编制；</w:t>
      </w:r>
    </w:p>
    <w:p w14:paraId="64BF2FAC">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b.不同投标人委托同一单位或个人办理投标事宜；</w:t>
      </w:r>
    </w:p>
    <w:p w14:paraId="7771E63C">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c.不同投标人的投标文件载明的项目管理成员为同一人；</w:t>
      </w:r>
    </w:p>
    <w:p w14:paraId="7A983E3E">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d.不同投标人的投标文件异常一致或投标报价呈规律性差异；</w:t>
      </w:r>
    </w:p>
    <w:p w14:paraId="0AB4F664">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e.不同投标人的投标文件相互混装；</w:t>
      </w:r>
    </w:p>
    <w:p w14:paraId="7D476ADA">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f.不同投标人的投标保证金从同一单位或个人的账户转出。</w:t>
      </w:r>
    </w:p>
    <w:p w14:paraId="71240317">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（3）有下列情形之一的，属于招标人与投标人串通投标：</w:t>
      </w:r>
    </w:p>
    <w:p w14:paraId="7E1FF2C8">
      <w:pPr>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a.招标人在开标前开启投标文件并将有关信息泄露给其他投标人</w:t>
      </w:r>
      <w:r>
        <w:rPr>
          <w:rFonts w:hint="eastAsia" w:ascii="仿宋" w:hAnsi="仿宋" w:eastAsia="仿宋" w:cs="仿宋"/>
          <w:color w:val="auto"/>
          <w:sz w:val="28"/>
          <w:szCs w:val="28"/>
          <w:highlight w:val="none"/>
          <w:lang w:eastAsia="zh-CN"/>
        </w:rPr>
        <w:t>；</w:t>
      </w:r>
    </w:p>
    <w:p w14:paraId="380D5CE4">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b.招标人直接或间接向投标人泄露标底、评标委员会成员等信息；</w:t>
      </w:r>
    </w:p>
    <w:p w14:paraId="5D600930">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c.招标人明示或暗示投标人压低或抬高投标报价；</w:t>
      </w:r>
    </w:p>
    <w:p w14:paraId="14AE35F7">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d.招标人授意投标人撤换、修改投标文件；</w:t>
      </w:r>
    </w:p>
    <w:p w14:paraId="15538FE5">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e.招标人明示或暗示投标人为特定投标人中标提供方便；</w:t>
      </w:r>
    </w:p>
    <w:p w14:paraId="6D4A7455">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f.招标人与投标人为谋求特定投标人中标而采取的其他串通行为。</w:t>
      </w:r>
    </w:p>
    <w:p w14:paraId="170C5613">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（4）投标人有下列情形之一的，属于弄虚作假的行为：</w:t>
      </w:r>
    </w:p>
    <w:p w14:paraId="430E8735">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a.使用通过受让或租借等方式获取的资格、资质证书投标；</w:t>
      </w:r>
    </w:p>
    <w:p w14:paraId="4BC2D782">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b.使用伪造、变造的许可证件；</w:t>
      </w:r>
    </w:p>
    <w:p w14:paraId="7EEB2021">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c.提供虚假的财务状况或业绩；</w:t>
      </w:r>
    </w:p>
    <w:p w14:paraId="4C326C92">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d.提供虚假的项目总监理工程师或主要技术人员简历、劳动关系证明；</w:t>
      </w:r>
    </w:p>
    <w:p w14:paraId="57F8E0DD">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e.提供虚假的信用状况；</w:t>
      </w:r>
    </w:p>
    <w:p w14:paraId="54528C22">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f.其他弄虚作假的行为。</w:t>
      </w:r>
    </w:p>
    <w:p w14:paraId="3E13FDBA">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3.7投标文件的澄清和说明</w:t>
      </w:r>
    </w:p>
    <w:p w14:paraId="5CCB6B37">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3.7.1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017F4879">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3.7.2澄清和说明不得超出投标文件的范围或改变投标文件的实质性内容（算术性错误的修正除外）。投标人的书面澄清、说明属于投标文件的组成部分。</w:t>
      </w:r>
    </w:p>
    <w:p w14:paraId="1BE1D5FE">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3.7.3评标委员会不得暗示或诱导投标人作出澄清、说明，对投标人提交的澄清、说明有疑问的，可以要求投标人进一步澄清或说明，直至满足评标委员会的要求。</w:t>
      </w:r>
    </w:p>
    <w:p w14:paraId="40F0B930">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3.7.4凡超出招标文件规定的或给发包人带来未曾要求的利益的变化、偏差或其他因素在评标时不予考虑。</w:t>
      </w:r>
    </w:p>
    <w:p w14:paraId="11562934">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3.8不得否决投标的情形</w:t>
      </w:r>
    </w:p>
    <w:p w14:paraId="248DB5C9">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投标文件存在第二章“投标人须知”第1.12.3项所列情形的，均视为细微偏差，评标委员会不得否决投标人的投标，应按照第二章“投标人须知”第1.12.4项规定的原则处理。</w:t>
      </w:r>
    </w:p>
    <w:p w14:paraId="1F1A7353">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3.9评标结果</w:t>
      </w:r>
    </w:p>
    <w:p w14:paraId="7B7ABC92">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3.9.1除第二章“投标人须知”前附表授权直接确定中标人外，评标委员会按照得分由高到低的顺序推荐中标候选人，并标明排序。</w:t>
      </w:r>
    </w:p>
    <w:p w14:paraId="24F0C288">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3.9.2评标委员会完成评标后，应向招标人提交书面评标报告。</w:t>
      </w:r>
    </w:p>
    <w:p w14:paraId="77DFB2E6">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626B4F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五</w:t>
      </w:r>
      <w:r>
        <w:rPr>
          <w:rFonts w:hint="eastAsia" w:ascii="黑体" w:hAnsi="黑体" w:eastAsia="黑体" w:cs="黑体"/>
          <w:b w:val="0"/>
          <w:bCs/>
          <w:color w:val="000000" w:themeColor="text1"/>
          <w:sz w:val="32"/>
          <w:szCs w:val="32"/>
          <w14:textFill>
            <w14:solidFill>
              <w14:schemeClr w14:val="tx1"/>
            </w14:solidFill>
          </w14:textFill>
        </w:rPr>
        <w:t>、招标人联系方式</w:t>
      </w:r>
    </w:p>
    <w:p w14:paraId="4CC27BED">
      <w:pPr>
        <w:bidi w:val="0"/>
        <w:ind w:firstLine="56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招 标 人：</w:t>
      </w:r>
      <w:r>
        <w:rPr>
          <w:color w:val="000000" w:themeColor="text1"/>
          <w:lang w:val="en-US" w:eastAsia="zh-CN"/>
          <w14:textFill>
            <w14:solidFill>
              <w14:schemeClr w14:val="tx1"/>
            </w14:solidFill>
          </w14:textFill>
        </w:rPr>
        <w:t>宝鸡市综合交通建设协调服务中心</w:t>
      </w:r>
    </w:p>
    <w:p w14:paraId="35991904">
      <w:pPr>
        <w:bidi w:val="0"/>
        <w:ind w:firstLine="56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地    址：</w:t>
      </w:r>
      <w:r>
        <w:rPr>
          <w:color w:val="000000" w:themeColor="text1"/>
          <w:lang w:val="en-US" w:eastAsia="zh-CN"/>
          <w14:textFill>
            <w14:solidFill>
              <w14:schemeClr w14:val="tx1"/>
            </w14:solidFill>
          </w14:textFill>
        </w:rPr>
        <w:t>宝鸡市金台区金台大道33号</w:t>
      </w:r>
    </w:p>
    <w:p w14:paraId="0A0A6B98">
      <w:pPr>
        <w:bidi w:val="0"/>
        <w:ind w:firstLine="560" w:firstLineChars="200"/>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邮政编码：</w:t>
      </w:r>
      <w:r>
        <w:rPr>
          <w:rFonts w:hint="eastAsia"/>
          <w:color w:val="000000" w:themeColor="text1"/>
          <w:lang w:val="en-US" w:eastAsia="zh-CN"/>
          <w14:textFill>
            <w14:solidFill>
              <w14:schemeClr w14:val="tx1"/>
            </w14:solidFill>
          </w14:textFill>
        </w:rPr>
        <w:t>721000</w:t>
      </w:r>
    </w:p>
    <w:p w14:paraId="3B5221BF">
      <w:pPr>
        <w:bidi w:val="0"/>
        <w:ind w:firstLine="56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联 系 人：</w:t>
      </w:r>
      <w:r>
        <w:rPr>
          <w:rFonts w:hint="eastAsia"/>
          <w:color w:val="000000" w:themeColor="text1"/>
          <w:lang w:val="en-US" w:eastAsia="zh-CN"/>
          <w14:textFill>
            <w14:solidFill>
              <w14:schemeClr w14:val="tx1"/>
            </w14:solidFill>
          </w14:textFill>
        </w:rPr>
        <w:t>郭先生</w:t>
      </w:r>
    </w:p>
    <w:p w14:paraId="17494D8D">
      <w:pPr>
        <w:bidi w:val="0"/>
        <w:ind w:firstLine="56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电    话：</w:t>
      </w:r>
      <w:r>
        <w:rPr>
          <w:color w:val="000000" w:themeColor="text1"/>
          <w:lang w:val="en-US" w:eastAsia="zh-CN"/>
          <w14:textFill>
            <w14:solidFill>
              <w14:schemeClr w14:val="tx1"/>
            </w14:solidFill>
          </w14:textFill>
        </w:rPr>
        <w:t>0917-3</w:t>
      </w:r>
      <w:r>
        <w:rPr>
          <w:rFonts w:hint="eastAsia"/>
          <w:color w:val="000000" w:themeColor="text1"/>
          <w:lang w:val="en-US" w:eastAsia="zh-CN"/>
          <w14:textFill>
            <w14:solidFill>
              <w14:schemeClr w14:val="tx1"/>
            </w14:solidFill>
          </w14:textFill>
        </w:rPr>
        <w:t>806322</w:t>
      </w:r>
    </w:p>
    <w:p w14:paraId="53484678">
      <w:pPr>
        <w:bidi w:val="0"/>
        <w:ind w:firstLine="560" w:firstLineChars="200"/>
        <w:rPr>
          <w:rFonts w:hint="eastAsia"/>
          <w:color w:val="000000" w:themeColor="text1"/>
          <w:lang w:val="en-US" w:eastAsia="zh-CN"/>
          <w14:textFill>
            <w14:solidFill>
              <w14:schemeClr w14:val="tx1"/>
            </w14:solidFill>
          </w14:textFill>
        </w:rPr>
      </w:pPr>
      <w:r>
        <w:rPr>
          <w:color w:val="000000" w:themeColor="text1"/>
          <w14:textFill>
            <w14:solidFill>
              <w14:schemeClr w14:val="tx1"/>
            </w14:solidFill>
          </w14:textFill>
        </w:rPr>
        <w:t>邮    箱：</w:t>
      </w:r>
      <w:r>
        <w:rPr>
          <w:rFonts w:hint="eastAsia"/>
          <w:color w:val="000000" w:themeColor="text1"/>
          <w:lang w:val="en-US" w:eastAsia="zh-CN"/>
          <w14:textFill>
            <w14:solidFill>
              <w14:schemeClr w14:val="tx1"/>
            </w14:solidFill>
          </w14:textFill>
        </w:rPr>
        <w:t>/</w:t>
      </w:r>
    </w:p>
    <w:p w14:paraId="58FF6DA1">
      <w:pPr>
        <w:pStyle w:val="4"/>
        <w:spacing w:line="261" w:lineRule="auto"/>
        <w:rPr>
          <w:color w:val="000000" w:themeColor="text1"/>
          <w14:textFill>
            <w14:solidFill>
              <w14:schemeClr w14:val="tx1"/>
            </w14:solidFill>
          </w14:textFill>
        </w:rPr>
      </w:pPr>
    </w:p>
    <w:p w14:paraId="6CCA0053">
      <w:pPr>
        <w:bidi w:val="0"/>
        <w:jc w:val="right"/>
        <w:rPr>
          <w:color w:val="000000" w:themeColor="text1"/>
          <w14:textFill>
            <w14:solidFill>
              <w14:schemeClr w14:val="tx1"/>
            </w14:solidFill>
          </w14:textFill>
        </w:rPr>
      </w:pPr>
      <w:r>
        <w:rPr>
          <w:color w:val="000000" w:themeColor="text1"/>
          <w14:textFill>
            <w14:solidFill>
              <w14:schemeClr w14:val="tx1"/>
            </w14:solidFill>
          </w14:textFill>
        </w:rPr>
        <w:t>202</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月</w:t>
      </w:r>
    </w:p>
    <w:p w14:paraId="363DBD19">
      <w:pPr>
        <w:rPr>
          <w:rFonts w:ascii="宋体" w:hAnsi="宋体" w:eastAsia="宋体" w:cs="宋体"/>
          <w:b/>
          <w:bCs/>
          <w:color w:val="000000" w:themeColor="text1"/>
          <w:spacing w:val="-5"/>
          <w:sz w:val="28"/>
          <w:szCs w:val="28"/>
          <w14:textFill>
            <w14:solidFill>
              <w14:schemeClr w14:val="tx1"/>
            </w14:solidFill>
          </w14:textFill>
        </w:rPr>
      </w:pPr>
      <w:r>
        <w:rPr>
          <w:rFonts w:ascii="宋体" w:hAnsi="宋体" w:eastAsia="宋体" w:cs="宋体"/>
          <w:b/>
          <w:bCs/>
          <w:color w:val="000000" w:themeColor="text1"/>
          <w:spacing w:val="-5"/>
          <w:sz w:val="28"/>
          <w:szCs w:val="28"/>
          <w14:textFill>
            <w14:solidFill>
              <w14:schemeClr w14:val="tx1"/>
            </w14:solidFill>
          </w14:textFill>
        </w:rPr>
        <w:br w:type="page"/>
      </w:r>
    </w:p>
    <w:p w14:paraId="762085E1">
      <w:pPr>
        <w:spacing w:before="91" w:line="219" w:lineRule="auto"/>
        <w:ind w:left="204"/>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pacing w:val="-5"/>
          <w:sz w:val="28"/>
          <w:szCs w:val="28"/>
          <w14:textFill>
            <w14:solidFill>
              <w14:schemeClr w14:val="tx1"/>
            </w14:solidFill>
          </w14:textFill>
        </w:rPr>
        <w:t>附件：招标文件购买信息登记表</w:t>
      </w:r>
    </w:p>
    <w:p w14:paraId="12A7ACF3">
      <w:pPr>
        <w:spacing w:before="182" w:line="220" w:lineRule="auto"/>
        <w:jc w:val="center"/>
        <w:rPr>
          <w:rFonts w:hint="eastAsia" w:ascii="仿宋" w:hAnsi="仿宋" w:eastAsia="仿宋" w:cs="仿宋"/>
          <w:b/>
          <w:bCs/>
          <w:color w:val="000000" w:themeColor="text1"/>
          <w:spacing w:val="-3"/>
          <w:sz w:val="28"/>
          <w:szCs w:val="28"/>
          <w:lang w:eastAsia="zh-CN"/>
          <w14:textFill>
            <w14:solidFill>
              <w14:schemeClr w14:val="tx1"/>
            </w14:solidFill>
          </w14:textFill>
        </w:rPr>
      </w:pPr>
      <w:r>
        <w:rPr>
          <w:rFonts w:hint="eastAsia" w:ascii="仿宋" w:hAnsi="仿宋" w:eastAsia="仿宋" w:cs="仿宋"/>
          <w:b/>
          <w:bCs/>
          <w:color w:val="000000" w:themeColor="text1"/>
          <w:spacing w:val="-3"/>
          <w:sz w:val="28"/>
          <w:szCs w:val="28"/>
          <w:lang w:eastAsia="zh-CN"/>
          <w14:textFill>
            <w14:solidFill>
              <w14:schemeClr w14:val="tx1"/>
            </w14:solidFill>
          </w14:textFill>
        </w:rPr>
        <w:t>310国道眉县青化至渭滨高家镇公路项目</w:t>
      </w:r>
    </w:p>
    <w:p w14:paraId="41B0D0E9">
      <w:pPr>
        <w:spacing w:before="182" w:line="220" w:lineRule="auto"/>
        <w:jc w:val="center"/>
        <w:rPr>
          <w:rFonts w:hint="eastAsia" w:ascii="仿宋" w:hAnsi="仿宋" w:eastAsia="仿宋" w:cs="仿宋"/>
          <w:b/>
          <w:bCs/>
          <w:color w:val="000000" w:themeColor="text1"/>
          <w:spacing w:val="-3"/>
          <w:sz w:val="28"/>
          <w:szCs w:val="28"/>
          <w14:textFill>
            <w14:solidFill>
              <w14:schemeClr w14:val="tx1"/>
            </w14:solidFill>
          </w14:textFill>
        </w:rPr>
      </w:pPr>
      <w:r>
        <w:rPr>
          <w:rFonts w:hint="eastAsia" w:ascii="仿宋" w:hAnsi="仿宋" w:eastAsia="仿宋" w:cs="仿宋"/>
          <w:b/>
          <w:bCs/>
          <w:color w:val="000000" w:themeColor="text1"/>
          <w:spacing w:val="-3"/>
          <w:sz w:val="28"/>
          <w:szCs w:val="28"/>
          <w:lang w:eastAsia="zh-CN"/>
          <w14:textFill>
            <w14:solidFill>
              <w14:schemeClr w14:val="tx1"/>
            </w14:solidFill>
          </w14:textFill>
        </w:rPr>
        <w:t>涉铁工程铁路营业线施工安全监理(</w:t>
      </w:r>
      <w:r>
        <w:rPr>
          <w:rFonts w:hint="eastAsia" w:cs="仿宋"/>
          <w:b/>
          <w:bCs/>
          <w:color w:val="000000" w:themeColor="text1"/>
          <w:spacing w:val="-3"/>
          <w:sz w:val="28"/>
          <w:szCs w:val="28"/>
          <w:lang w:eastAsia="zh-CN"/>
          <w14:textFill>
            <w14:solidFill>
              <w14:schemeClr w14:val="tx1"/>
            </w14:solidFill>
          </w14:textFill>
        </w:rPr>
        <w:t>三次</w:t>
      </w:r>
      <w:r>
        <w:rPr>
          <w:rFonts w:hint="eastAsia" w:ascii="仿宋" w:hAnsi="仿宋" w:eastAsia="仿宋" w:cs="仿宋"/>
          <w:b/>
          <w:bCs/>
          <w:color w:val="000000" w:themeColor="text1"/>
          <w:spacing w:val="-3"/>
          <w:sz w:val="28"/>
          <w:szCs w:val="28"/>
          <w:lang w:eastAsia="zh-CN"/>
          <w14:textFill>
            <w14:solidFill>
              <w14:schemeClr w14:val="tx1"/>
            </w14:solidFill>
          </w14:textFill>
        </w:rPr>
        <w:t>)</w:t>
      </w:r>
    </w:p>
    <w:p w14:paraId="598A32D6">
      <w:pPr>
        <w:spacing w:before="182" w:line="220" w:lineRule="auto"/>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pacing w:val="-3"/>
          <w:sz w:val="28"/>
          <w:szCs w:val="28"/>
          <w14:textFill>
            <w14:solidFill>
              <w14:schemeClr w14:val="tx1"/>
            </w14:solidFill>
          </w14:textFill>
        </w:rPr>
        <w:t>招标文件购买信息登记表</w:t>
      </w:r>
    </w:p>
    <w:tbl>
      <w:tblPr>
        <w:tblStyle w:val="10"/>
        <w:tblW w:w="80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42"/>
        <w:gridCol w:w="5757"/>
      </w:tblGrid>
      <w:tr w14:paraId="28C51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blHeader/>
        </w:trPr>
        <w:tc>
          <w:tcPr>
            <w:tcW w:w="2342" w:type="dxa"/>
            <w:vAlign w:val="center"/>
          </w:tcPr>
          <w:p w14:paraId="63B21690">
            <w:pPr>
              <w:pStyle w:val="9"/>
              <w:spacing w:before="155" w:line="220" w:lineRule="auto"/>
              <w:jc w:val="center"/>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pacing w:val="-5"/>
                <w:sz w:val="28"/>
                <w:szCs w:val="28"/>
                <w14:textFill>
                  <w14:solidFill>
                    <w14:schemeClr w14:val="tx1"/>
                  </w14:solidFill>
                </w14:textFill>
              </w:rPr>
              <w:t>单位名称</w:t>
            </w:r>
          </w:p>
        </w:tc>
        <w:tc>
          <w:tcPr>
            <w:tcW w:w="5757" w:type="dxa"/>
            <w:vAlign w:val="top"/>
          </w:tcPr>
          <w:p w14:paraId="61E00147">
            <w:pPr>
              <w:rPr>
                <w:rFonts w:ascii="Arial"/>
                <w:color w:val="000000" w:themeColor="text1"/>
                <w:sz w:val="21"/>
                <w14:textFill>
                  <w14:solidFill>
                    <w14:schemeClr w14:val="tx1"/>
                  </w14:solidFill>
                </w14:textFill>
              </w:rPr>
            </w:pPr>
          </w:p>
        </w:tc>
      </w:tr>
      <w:tr w14:paraId="50BBD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blHeader/>
        </w:trPr>
        <w:tc>
          <w:tcPr>
            <w:tcW w:w="2342" w:type="dxa"/>
            <w:vAlign w:val="center"/>
          </w:tcPr>
          <w:p w14:paraId="6B8C00F0">
            <w:pPr>
              <w:pStyle w:val="9"/>
              <w:spacing w:before="151" w:line="220" w:lineRule="auto"/>
              <w:jc w:val="center"/>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pacing w:val="-2"/>
                <w:sz w:val="28"/>
                <w:szCs w:val="28"/>
                <w14:textFill>
                  <w14:solidFill>
                    <w14:schemeClr w14:val="tx1"/>
                  </w14:solidFill>
                </w14:textFill>
              </w:rPr>
              <w:t>联系人姓名</w:t>
            </w:r>
          </w:p>
        </w:tc>
        <w:tc>
          <w:tcPr>
            <w:tcW w:w="5757" w:type="dxa"/>
            <w:vAlign w:val="top"/>
          </w:tcPr>
          <w:p w14:paraId="747C14C0">
            <w:pPr>
              <w:rPr>
                <w:rFonts w:ascii="Arial"/>
                <w:color w:val="000000" w:themeColor="text1"/>
                <w:sz w:val="21"/>
                <w14:textFill>
                  <w14:solidFill>
                    <w14:schemeClr w14:val="tx1"/>
                  </w14:solidFill>
                </w14:textFill>
              </w:rPr>
            </w:pPr>
          </w:p>
        </w:tc>
      </w:tr>
      <w:tr w14:paraId="3CC76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blHeader/>
        </w:trPr>
        <w:tc>
          <w:tcPr>
            <w:tcW w:w="2342" w:type="dxa"/>
            <w:vAlign w:val="center"/>
          </w:tcPr>
          <w:p w14:paraId="461B3B74">
            <w:pPr>
              <w:pStyle w:val="9"/>
              <w:spacing w:before="87" w:line="219" w:lineRule="auto"/>
              <w:jc w:val="center"/>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pacing w:val="-7"/>
                <w:sz w:val="28"/>
                <w:szCs w:val="28"/>
                <w14:textFill>
                  <w14:solidFill>
                    <w14:schemeClr w14:val="tx1"/>
                  </w14:solidFill>
                </w14:textFill>
              </w:rPr>
              <w:t>手机</w:t>
            </w:r>
          </w:p>
        </w:tc>
        <w:tc>
          <w:tcPr>
            <w:tcW w:w="5757" w:type="dxa"/>
            <w:vAlign w:val="top"/>
          </w:tcPr>
          <w:p w14:paraId="11E87BEE">
            <w:pPr>
              <w:rPr>
                <w:rFonts w:ascii="Arial"/>
                <w:color w:val="000000" w:themeColor="text1"/>
                <w:sz w:val="21"/>
                <w14:textFill>
                  <w14:solidFill>
                    <w14:schemeClr w14:val="tx1"/>
                  </w14:solidFill>
                </w14:textFill>
              </w:rPr>
            </w:pPr>
          </w:p>
        </w:tc>
      </w:tr>
      <w:tr w14:paraId="721B0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blHeader/>
        </w:trPr>
        <w:tc>
          <w:tcPr>
            <w:tcW w:w="2342" w:type="dxa"/>
            <w:vAlign w:val="center"/>
          </w:tcPr>
          <w:p w14:paraId="77126B8C">
            <w:pPr>
              <w:pStyle w:val="9"/>
              <w:spacing w:before="161" w:line="220" w:lineRule="auto"/>
              <w:jc w:val="center"/>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pacing w:val="-6"/>
                <w:sz w:val="28"/>
                <w:szCs w:val="28"/>
                <w14:textFill>
                  <w14:solidFill>
                    <w14:schemeClr w14:val="tx1"/>
                  </w14:solidFill>
                </w14:textFill>
              </w:rPr>
              <w:t>固定电话</w:t>
            </w:r>
          </w:p>
        </w:tc>
        <w:tc>
          <w:tcPr>
            <w:tcW w:w="5757" w:type="dxa"/>
            <w:vAlign w:val="top"/>
          </w:tcPr>
          <w:p w14:paraId="6021AC48">
            <w:pPr>
              <w:rPr>
                <w:rFonts w:ascii="Arial"/>
                <w:color w:val="000000" w:themeColor="text1"/>
                <w:sz w:val="21"/>
                <w14:textFill>
                  <w14:solidFill>
                    <w14:schemeClr w14:val="tx1"/>
                  </w14:solidFill>
                </w14:textFill>
              </w:rPr>
            </w:pPr>
          </w:p>
        </w:tc>
      </w:tr>
      <w:tr w14:paraId="63BE1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blHeader/>
        </w:trPr>
        <w:tc>
          <w:tcPr>
            <w:tcW w:w="2342" w:type="dxa"/>
            <w:vAlign w:val="center"/>
          </w:tcPr>
          <w:p w14:paraId="097CCD0E">
            <w:pPr>
              <w:pStyle w:val="9"/>
              <w:spacing w:before="122" w:line="219" w:lineRule="auto"/>
              <w:jc w:val="center"/>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pacing w:val="-2"/>
                <w:sz w:val="28"/>
                <w:szCs w:val="28"/>
                <w14:textFill>
                  <w14:solidFill>
                    <w14:schemeClr w14:val="tx1"/>
                  </w14:solidFill>
                </w14:textFill>
              </w:rPr>
              <w:t>传真</w:t>
            </w:r>
          </w:p>
        </w:tc>
        <w:tc>
          <w:tcPr>
            <w:tcW w:w="5757" w:type="dxa"/>
            <w:vAlign w:val="top"/>
          </w:tcPr>
          <w:p w14:paraId="2F27D386">
            <w:pPr>
              <w:rPr>
                <w:rFonts w:ascii="Arial"/>
                <w:color w:val="000000" w:themeColor="text1"/>
                <w:sz w:val="21"/>
                <w14:textFill>
                  <w14:solidFill>
                    <w14:schemeClr w14:val="tx1"/>
                  </w14:solidFill>
                </w14:textFill>
              </w:rPr>
            </w:pPr>
          </w:p>
        </w:tc>
      </w:tr>
      <w:tr w14:paraId="3C3C1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blHeader/>
        </w:trPr>
        <w:tc>
          <w:tcPr>
            <w:tcW w:w="2342" w:type="dxa"/>
            <w:vAlign w:val="center"/>
          </w:tcPr>
          <w:p w14:paraId="2E6F5D38">
            <w:pPr>
              <w:pStyle w:val="9"/>
              <w:spacing w:before="152" w:line="220" w:lineRule="auto"/>
              <w:jc w:val="center"/>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pacing w:val="-12"/>
                <w:sz w:val="28"/>
                <w:szCs w:val="28"/>
                <w14:textFill>
                  <w14:solidFill>
                    <w14:schemeClr w14:val="tx1"/>
                  </w14:solidFill>
                </w14:textFill>
              </w:rPr>
              <w:t>电子邮箱</w:t>
            </w:r>
          </w:p>
        </w:tc>
        <w:tc>
          <w:tcPr>
            <w:tcW w:w="5757" w:type="dxa"/>
            <w:vAlign w:val="top"/>
          </w:tcPr>
          <w:p w14:paraId="112F72D8">
            <w:pPr>
              <w:rPr>
                <w:rFonts w:ascii="Arial"/>
                <w:color w:val="000000" w:themeColor="text1"/>
                <w:sz w:val="21"/>
                <w14:textFill>
                  <w14:solidFill>
                    <w14:schemeClr w14:val="tx1"/>
                  </w14:solidFill>
                </w14:textFill>
              </w:rPr>
            </w:pPr>
          </w:p>
        </w:tc>
      </w:tr>
      <w:tr w14:paraId="600A5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4" w:hRule="atLeast"/>
          <w:tblHeader/>
        </w:trPr>
        <w:tc>
          <w:tcPr>
            <w:tcW w:w="2342" w:type="dxa"/>
            <w:vAlign w:val="center"/>
          </w:tcPr>
          <w:p w14:paraId="6A4A8948">
            <w:pPr>
              <w:pStyle w:val="9"/>
              <w:spacing w:before="231" w:line="221" w:lineRule="auto"/>
              <w:jc w:val="center"/>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pacing w:val="-4"/>
                <w:sz w:val="28"/>
                <w:szCs w:val="28"/>
                <w14:textFill>
                  <w14:solidFill>
                    <w14:schemeClr w14:val="tx1"/>
                  </w14:solidFill>
                </w14:textFill>
              </w:rPr>
              <w:t>备注</w:t>
            </w:r>
          </w:p>
        </w:tc>
        <w:tc>
          <w:tcPr>
            <w:tcW w:w="5757" w:type="dxa"/>
            <w:vAlign w:val="top"/>
          </w:tcPr>
          <w:p w14:paraId="3C65FA9B">
            <w:pPr>
              <w:rPr>
                <w:rFonts w:ascii="Arial"/>
                <w:color w:val="000000" w:themeColor="text1"/>
                <w:sz w:val="21"/>
                <w14:textFill>
                  <w14:solidFill>
                    <w14:schemeClr w14:val="tx1"/>
                  </w14:solidFill>
                </w14:textFill>
              </w:rPr>
            </w:pPr>
          </w:p>
        </w:tc>
      </w:tr>
    </w:tbl>
    <w:p w14:paraId="2C9CC5B7">
      <w:pPr>
        <w:pStyle w:val="4"/>
        <w:spacing w:before="118" w:line="220" w:lineRule="auto"/>
        <w:outlineLvl w:val="0"/>
        <w:rPr>
          <w:color w:val="000000" w:themeColor="text1"/>
          <w:spacing w:val="15"/>
          <w:sz w:val="36"/>
          <w:szCs w:val="36"/>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0DBC51"/>
    <w:multiLevelType w:val="singleLevel"/>
    <w:tmpl w:val="570DBC51"/>
    <w:lvl w:ilvl="0" w:tentative="0">
      <w:start w:val="1"/>
      <w:numFmt w:val="decimal"/>
      <w:suff w:val="nothing"/>
      <w:lvlText w:val="%1、"/>
      <w:lvlJc w:val="left"/>
      <w:pPr>
        <w:tabs>
          <w:tab w:val="left" w:pos="0"/>
        </w:tabs>
        <w:ind w:left="0" w:firstLine="0"/>
      </w:pPr>
      <w:rPr>
        <w:rFonts w:cs="Times New Roman"/>
      </w:rPr>
    </w:lvl>
  </w:abstractNum>
  <w:abstractNum w:abstractNumId="1">
    <w:nsid w:val="5ADFF693"/>
    <w:multiLevelType w:val="singleLevel"/>
    <w:tmpl w:val="5ADFF69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C70B2"/>
    <w:rsid w:val="07384949"/>
    <w:rsid w:val="195B5FC1"/>
    <w:rsid w:val="1B106CD9"/>
    <w:rsid w:val="23437C68"/>
    <w:rsid w:val="27EB7224"/>
    <w:rsid w:val="2B74787B"/>
    <w:rsid w:val="2BF8231C"/>
    <w:rsid w:val="36765F83"/>
    <w:rsid w:val="38E4232C"/>
    <w:rsid w:val="3A6366DE"/>
    <w:rsid w:val="3CB7733E"/>
    <w:rsid w:val="479827E5"/>
    <w:rsid w:val="51475FBA"/>
    <w:rsid w:val="52752B00"/>
    <w:rsid w:val="559A0800"/>
    <w:rsid w:val="55F21EDE"/>
    <w:rsid w:val="56D46542"/>
    <w:rsid w:val="57135F3E"/>
    <w:rsid w:val="584B485A"/>
    <w:rsid w:val="587B479B"/>
    <w:rsid w:val="5A9F6E67"/>
    <w:rsid w:val="5C965957"/>
    <w:rsid w:val="5DB42D9B"/>
    <w:rsid w:val="66616023"/>
    <w:rsid w:val="67FE4937"/>
    <w:rsid w:val="696A7205"/>
    <w:rsid w:val="6F2B110E"/>
    <w:rsid w:val="704242E6"/>
    <w:rsid w:val="729303E6"/>
    <w:rsid w:val="750636AA"/>
    <w:rsid w:val="756F0E8F"/>
    <w:rsid w:val="77217132"/>
    <w:rsid w:val="7896198A"/>
    <w:rsid w:val="78C163CE"/>
    <w:rsid w:val="797370CB"/>
    <w:rsid w:val="7CF6426C"/>
    <w:rsid w:val="7E0F2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360" w:lineRule="auto"/>
      <w:jc w:val="both"/>
      <w:textAlignment w:val="baseline"/>
    </w:pPr>
    <w:rPr>
      <w:rFonts w:ascii="仿宋" w:hAnsi="仿宋" w:eastAsia="仿宋" w:cs="仿宋"/>
      <w:snapToGrid w:val="0"/>
      <w:color w:val="000000"/>
      <w:kern w:val="0"/>
      <w:sz w:val="28"/>
      <w:szCs w:val="28"/>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rPr>
      <w:rFonts w:eastAsia="黑体"/>
      <w:sz w:val="20"/>
    </w:rPr>
  </w:style>
  <w:style w:type="paragraph" w:styleId="3">
    <w:name w:val="toa heading"/>
    <w:basedOn w:val="1"/>
    <w:next w:val="1"/>
    <w:qFormat/>
    <w:uiPriority w:val="0"/>
    <w:rPr>
      <w:rFonts w:ascii="Arial" w:hAnsi="Arial"/>
      <w:sz w:val="24"/>
    </w:rPr>
  </w:style>
  <w:style w:type="paragraph" w:styleId="4">
    <w:name w:val="Body Text"/>
    <w:basedOn w:val="1"/>
    <w:semiHidden/>
    <w:qFormat/>
    <w:uiPriority w:val="0"/>
    <w:rPr>
      <w:rFonts w:ascii="宋体" w:hAnsi="宋体" w:eastAsia="宋体" w:cs="宋体"/>
      <w:sz w:val="28"/>
      <w:szCs w:val="28"/>
      <w:lang w:val="en-US" w:eastAsia="en-US" w:bidi="ar-SA"/>
    </w:r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character" w:styleId="8">
    <w:name w:val="annotation reference"/>
    <w:qFormat/>
    <w:uiPriority w:val="99"/>
    <w:rPr>
      <w:rFonts w:cs="Times New Roman"/>
      <w:sz w:val="21"/>
      <w:szCs w:val="21"/>
    </w:rPr>
  </w:style>
  <w:style w:type="paragraph" w:customStyle="1" w:styleId="9">
    <w:name w:val="Table Text"/>
    <w:basedOn w:val="1"/>
    <w:semiHidden/>
    <w:qFormat/>
    <w:uiPriority w:val="0"/>
    <w:rPr>
      <w:rFonts w:ascii="宋体" w:hAnsi="宋体" w:eastAsia="宋体" w:cs="宋体"/>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正文文本 + 10 pt2"/>
    <w:qFormat/>
    <w:uiPriority w:val="0"/>
    <w:rPr>
      <w:rFonts w:ascii="黑体" w:hAnsi="黑体" w:cs="黑体"/>
      <w:color w:val="000000"/>
      <w:kern w:val="1"/>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8865</Words>
  <Characters>9517</Characters>
  <Lines>0</Lines>
  <Paragraphs>0</Paragraphs>
  <TotalTime>0</TotalTime>
  <ScaleCrop>false</ScaleCrop>
  <LinksUpToDate>false</LinksUpToDate>
  <CharactersWithSpaces>9574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2026-04-14T06:46:00Z</dcterms:created>
  <dc:creator>lenovo</dc:creator>
  <cp:lastModifiedBy>汪汪</cp:lastModifiedBy>
  <dcterms:modified xsi:type="dcterms:W3CDTF">2026-07-29T09:55:47Z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eyJoZGlkIjoiZTY1YjVjODllZjY4MDZhNTA0ZWE5NDA2YWM1MTQ5MWUiLCJ1c2VySWQiOiIyNjkyMTQxNDEifQ==</vt:lpwstr>
  </property>
  <property fmtid="{D5CDD505-2E9C-101B-9397-08002B2CF9AE}" pid="4" name="ICV">
    <vt:lpwstr>444BEFB597274C01840D3DF8DC48BCCF_13</vt:lpwstr>
  </property>
</Properties>
</file>