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52EBB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宋体" w:hAnsi="宋体" w:eastAsia="宋体" w:cs="宋体"/>
          <w:color w:val="auto"/>
          <w:sz w:val="28"/>
          <w:szCs w:val="28"/>
          <w:highlight w:val="none"/>
        </w:rPr>
      </w:pPr>
      <w:bookmarkStart w:id="0" w:name="_GoBack"/>
      <w:r>
        <w:rPr>
          <w:rFonts w:ascii="宋体" w:hAnsi="宋体" w:eastAsia="宋体" w:cs="宋体"/>
          <w:b/>
          <w:bCs/>
          <w:color w:val="auto"/>
          <w:spacing w:val="-3"/>
          <w:sz w:val="28"/>
          <w:szCs w:val="28"/>
          <w:highlight w:val="none"/>
        </w:rPr>
        <w:t>宝鸡北过境和钓渭至磻溪高速公路项目造价咨询服务</w:t>
      </w:r>
      <w:bookmarkEnd w:id="0"/>
    </w:p>
    <w:p w14:paraId="1ED629A6">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宋体" w:hAnsi="宋体" w:eastAsia="宋体" w:cs="宋体"/>
          <w:color w:val="auto"/>
          <w:sz w:val="28"/>
          <w:szCs w:val="28"/>
          <w:highlight w:val="none"/>
        </w:rPr>
      </w:pPr>
      <w:r>
        <w:rPr>
          <w:rFonts w:ascii="宋体" w:hAnsi="宋体" w:eastAsia="宋体" w:cs="宋体"/>
          <w:b/>
          <w:bCs/>
          <w:color w:val="auto"/>
          <w:spacing w:val="-6"/>
          <w:sz w:val="28"/>
          <w:szCs w:val="28"/>
          <w:highlight w:val="none"/>
        </w:rPr>
        <w:t>招标公告</w:t>
      </w:r>
    </w:p>
    <w:p w14:paraId="614D386B">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宋体" w:hAnsi="宋体" w:eastAsia="宋体" w:cs="宋体"/>
          <w:color w:val="auto"/>
          <w:sz w:val="22"/>
          <w:szCs w:val="22"/>
          <w:highlight w:val="none"/>
        </w:rPr>
      </w:pPr>
      <w:r>
        <w:rPr>
          <w:rFonts w:ascii="宋体" w:hAnsi="宋体" w:eastAsia="宋体" w:cs="宋体"/>
          <w:b/>
          <w:bCs/>
          <w:color w:val="auto"/>
          <w:spacing w:val="-8"/>
          <w:sz w:val="22"/>
          <w:szCs w:val="22"/>
          <w:highlight w:val="none"/>
        </w:rPr>
        <w:t>项目编号：SXZD(2026)053FW</w:t>
      </w:r>
    </w:p>
    <w:p w14:paraId="694CCDDE">
      <w:pPr>
        <w:spacing w:before="28" w:line="219" w:lineRule="auto"/>
        <w:ind w:left="497"/>
        <w:rPr>
          <w:rFonts w:ascii="宋体" w:hAnsi="宋体" w:eastAsia="宋体" w:cs="宋体"/>
          <w:color w:val="auto"/>
          <w:sz w:val="24"/>
          <w:szCs w:val="24"/>
          <w:highlight w:val="none"/>
        </w:rPr>
      </w:pPr>
      <w:r>
        <w:rPr>
          <w:rFonts w:ascii="Calibri" w:hAnsi="Calibri" w:eastAsia="Calibri" w:cs="Calibri"/>
          <w:b/>
          <w:bCs/>
          <w:color w:val="auto"/>
          <w:spacing w:val="-5"/>
          <w:sz w:val="24"/>
          <w:szCs w:val="24"/>
          <w:highlight w:val="none"/>
        </w:rPr>
        <w:t>1.</w:t>
      </w:r>
      <w:r>
        <w:rPr>
          <w:rFonts w:ascii="宋体" w:hAnsi="宋体" w:eastAsia="宋体" w:cs="宋体"/>
          <w:b/>
          <w:bCs/>
          <w:color w:val="auto"/>
          <w:spacing w:val="-5"/>
          <w:sz w:val="24"/>
          <w:szCs w:val="24"/>
          <w:highlight w:val="none"/>
        </w:rPr>
        <w:t>招标条件</w:t>
      </w:r>
    </w:p>
    <w:p w14:paraId="002BA598">
      <w:pPr>
        <w:spacing w:before="182" w:line="359" w:lineRule="auto"/>
        <w:ind w:left="10" w:firstLine="481"/>
        <w:jc w:val="both"/>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宝鸡北过境和钓渭至磻溪高速公路项目招标人为陕西交控宝鸡北过境钓磻高速公路有限公司，招标项目资金来源为企业自筹。该项目已具备招标条件，现对宝鸡北过</w:t>
      </w:r>
      <w:r>
        <w:rPr>
          <w:rFonts w:ascii="宋体" w:hAnsi="宋体" w:eastAsia="宋体" w:cs="宋体"/>
          <w:color w:val="auto"/>
          <w:spacing w:val="-1"/>
          <w:sz w:val="24"/>
          <w:szCs w:val="24"/>
          <w:highlight w:val="none"/>
        </w:rPr>
        <w:t>境和钓渭至磻溪高速公路项目造价咨询服务进行公开招标。</w:t>
      </w:r>
    </w:p>
    <w:p w14:paraId="5EBE6AB1">
      <w:pPr>
        <w:spacing w:before="1" w:line="219" w:lineRule="auto"/>
        <w:ind w:left="490"/>
        <w:rPr>
          <w:rFonts w:ascii="宋体" w:hAnsi="宋体" w:eastAsia="宋体" w:cs="宋体"/>
          <w:color w:val="auto"/>
          <w:sz w:val="24"/>
          <w:szCs w:val="24"/>
          <w:highlight w:val="none"/>
        </w:rPr>
      </w:pPr>
      <w:r>
        <w:rPr>
          <w:rFonts w:ascii="Calibri" w:hAnsi="Calibri" w:eastAsia="Calibri" w:cs="Calibri"/>
          <w:b/>
          <w:bCs/>
          <w:color w:val="auto"/>
          <w:spacing w:val="-3"/>
          <w:sz w:val="24"/>
          <w:szCs w:val="24"/>
          <w:highlight w:val="none"/>
        </w:rPr>
        <w:t>2.</w:t>
      </w:r>
      <w:r>
        <w:rPr>
          <w:rFonts w:ascii="宋体" w:hAnsi="宋体" w:eastAsia="宋体" w:cs="宋体"/>
          <w:b/>
          <w:bCs/>
          <w:color w:val="auto"/>
          <w:spacing w:val="-3"/>
          <w:sz w:val="24"/>
          <w:szCs w:val="24"/>
          <w:highlight w:val="none"/>
        </w:rPr>
        <w:t>项目概况与招标范围、标段划分</w:t>
      </w:r>
    </w:p>
    <w:p w14:paraId="1A636F0A">
      <w:pPr>
        <w:spacing w:before="180" w:line="219" w:lineRule="auto"/>
        <w:ind w:left="484"/>
        <w:rPr>
          <w:rFonts w:ascii="宋体" w:hAnsi="宋体" w:eastAsia="宋体" w:cs="宋体"/>
          <w:color w:val="auto"/>
          <w:sz w:val="24"/>
          <w:szCs w:val="24"/>
          <w:highlight w:val="none"/>
        </w:rPr>
      </w:pPr>
      <w:r>
        <w:rPr>
          <w:rFonts w:ascii="Times New Roman" w:hAnsi="Times New Roman" w:eastAsia="Times New Roman" w:cs="Times New Roman"/>
          <w:color w:val="auto"/>
          <w:spacing w:val="-3"/>
          <w:sz w:val="24"/>
          <w:szCs w:val="24"/>
          <w:highlight w:val="none"/>
        </w:rPr>
        <w:t>2.1</w:t>
      </w:r>
      <w:r>
        <w:rPr>
          <w:rFonts w:ascii="Times New Roman" w:hAnsi="Times New Roman" w:eastAsia="Times New Roman" w:cs="Times New Roman"/>
          <w:color w:val="auto"/>
          <w:spacing w:val="8"/>
          <w:sz w:val="24"/>
          <w:szCs w:val="24"/>
          <w:highlight w:val="none"/>
        </w:rPr>
        <w:t xml:space="preserve">  </w:t>
      </w:r>
      <w:r>
        <w:rPr>
          <w:rFonts w:ascii="宋体" w:hAnsi="宋体" w:eastAsia="宋体" w:cs="宋体"/>
          <w:color w:val="auto"/>
          <w:spacing w:val="-3"/>
          <w:sz w:val="24"/>
          <w:szCs w:val="24"/>
          <w:highlight w:val="none"/>
        </w:rPr>
        <w:t>项目概况：</w:t>
      </w:r>
    </w:p>
    <w:p w14:paraId="339AF9BC">
      <w:pPr>
        <w:keepNext w:val="0"/>
        <w:keepLines w:val="0"/>
        <w:pageBreakBefore w:val="0"/>
        <w:widowControl w:val="0"/>
        <w:kinsoku/>
        <w:wordWrap/>
        <w:overflowPunct/>
        <w:topLinePunct w:val="0"/>
        <w:autoSpaceDE/>
        <w:autoSpaceDN/>
        <w:bidi w:val="0"/>
        <w:adjustRightInd/>
        <w:snapToGrid/>
        <w:spacing w:line="360" w:lineRule="auto"/>
        <w:ind w:firstLine="500" w:firstLineChars="200"/>
        <w:jc w:val="both"/>
        <w:textAlignment w:val="auto"/>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宝鸡北过境和钓渭至磻溪高速公路是我省省级高速公路网的重要组成部分，也是</w:t>
      </w:r>
      <w:r>
        <w:rPr>
          <w:rFonts w:ascii="宋体" w:hAnsi="宋体" w:eastAsia="宋体" w:cs="宋体"/>
          <w:color w:val="auto"/>
          <w:spacing w:val="4"/>
          <w:sz w:val="24"/>
          <w:szCs w:val="24"/>
          <w:highlight w:val="none"/>
        </w:rPr>
        <w:t>我省“十四五</w:t>
      </w:r>
      <w:r>
        <w:rPr>
          <w:rFonts w:ascii="宋体" w:hAnsi="宋体" w:eastAsia="宋体" w:cs="宋体"/>
          <w:color w:val="auto"/>
          <w:spacing w:val="-75"/>
          <w:sz w:val="24"/>
          <w:szCs w:val="24"/>
          <w:highlight w:val="none"/>
        </w:rPr>
        <w:t xml:space="preserve"> </w:t>
      </w:r>
      <w:r>
        <w:rPr>
          <w:rFonts w:ascii="宋体" w:hAnsi="宋体" w:eastAsia="宋体" w:cs="宋体"/>
          <w:color w:val="auto"/>
          <w:spacing w:val="4"/>
          <w:sz w:val="24"/>
          <w:szCs w:val="24"/>
          <w:highlight w:val="none"/>
        </w:rPr>
        <w:t>”规划的重点项目。项目路线起自宝鸡市陈仓区钓渭镇南村处，与周凤</w:t>
      </w:r>
      <w:r>
        <w:rPr>
          <w:rFonts w:ascii="宋体" w:hAnsi="宋体" w:eastAsia="宋体" w:cs="宋体"/>
          <w:color w:val="auto"/>
          <w:spacing w:val="5"/>
          <w:sz w:val="24"/>
          <w:szCs w:val="24"/>
          <w:highlight w:val="none"/>
        </w:rPr>
        <w:t>高速公路预留的钓渭枢纽立交相接，向西设线经天王镇后，在磻溪镇杨家店村处设枢</w:t>
      </w:r>
      <w:r>
        <w:rPr>
          <w:rFonts w:ascii="宋体" w:hAnsi="宋体" w:eastAsia="宋体" w:cs="宋体"/>
          <w:color w:val="auto"/>
          <w:spacing w:val="1"/>
          <w:sz w:val="24"/>
          <w:szCs w:val="24"/>
          <w:highlight w:val="none"/>
        </w:rPr>
        <w:t>纽立交与连霍高速相接，之后转向北与连霍高速共线约</w:t>
      </w:r>
      <w:r>
        <w:rPr>
          <w:rFonts w:ascii="宋体" w:hAnsi="宋体" w:eastAsia="宋体" w:cs="宋体"/>
          <w:color w:val="auto"/>
          <w:spacing w:val="-44"/>
          <w:sz w:val="24"/>
          <w:szCs w:val="24"/>
          <w:highlight w:val="none"/>
        </w:rPr>
        <w:t xml:space="preserve"> </w:t>
      </w:r>
      <w:r>
        <w:rPr>
          <w:rFonts w:ascii="宋体" w:hAnsi="宋体" w:eastAsia="宋体" w:cs="宋体"/>
          <w:color w:val="auto"/>
          <w:spacing w:val="1"/>
          <w:sz w:val="24"/>
          <w:szCs w:val="24"/>
          <w:highlight w:val="none"/>
        </w:rPr>
        <w:t>3.02</w:t>
      </w:r>
      <w:r>
        <w:rPr>
          <w:rFonts w:ascii="宋体" w:hAnsi="宋体" w:eastAsia="宋体" w:cs="宋体"/>
          <w:color w:val="auto"/>
          <w:spacing w:val="-41"/>
          <w:sz w:val="24"/>
          <w:szCs w:val="24"/>
          <w:highlight w:val="none"/>
        </w:rPr>
        <w:t xml:space="preserve"> </w:t>
      </w:r>
      <w:r>
        <w:rPr>
          <w:rFonts w:ascii="宋体" w:hAnsi="宋体" w:eastAsia="宋体" w:cs="宋体"/>
          <w:color w:val="auto"/>
          <w:spacing w:val="1"/>
          <w:sz w:val="24"/>
          <w:szCs w:val="24"/>
          <w:highlight w:val="none"/>
        </w:rPr>
        <w:t>公里，改造现有虢镇东枢</w:t>
      </w:r>
      <w:r>
        <w:rPr>
          <w:rFonts w:ascii="宋体" w:hAnsi="宋体" w:eastAsia="宋体" w:cs="宋体"/>
          <w:color w:val="auto"/>
          <w:spacing w:val="5"/>
          <w:sz w:val="24"/>
          <w:szCs w:val="24"/>
          <w:highlight w:val="none"/>
        </w:rPr>
        <w:t>纽立交与连霍高速分离，向西北设线，经周原镇、千河镇、蟠龙镇、金河镇、硖石镇后，在高家镇苟家岭村改造宝鸡西立交为苟家岭枢纽立交与连霍高速相接，路线全长约</w:t>
      </w:r>
      <w:r>
        <w:rPr>
          <w:rFonts w:ascii="宋体" w:hAnsi="宋体" w:eastAsia="宋体" w:cs="宋体"/>
          <w:color w:val="auto"/>
          <w:spacing w:val="-20"/>
          <w:sz w:val="24"/>
          <w:szCs w:val="24"/>
          <w:highlight w:val="none"/>
        </w:rPr>
        <w:t xml:space="preserve"> </w:t>
      </w:r>
      <w:r>
        <w:rPr>
          <w:rFonts w:ascii="宋体" w:hAnsi="宋体" w:eastAsia="宋体" w:cs="宋体"/>
          <w:color w:val="auto"/>
          <w:spacing w:val="5"/>
          <w:sz w:val="24"/>
          <w:szCs w:val="24"/>
          <w:highlight w:val="none"/>
        </w:rPr>
        <w:t>63.3</w:t>
      </w:r>
      <w:r>
        <w:rPr>
          <w:rFonts w:ascii="宋体" w:hAnsi="宋体" w:eastAsia="宋体" w:cs="宋体"/>
          <w:color w:val="auto"/>
          <w:spacing w:val="-34"/>
          <w:sz w:val="24"/>
          <w:szCs w:val="24"/>
          <w:highlight w:val="none"/>
        </w:rPr>
        <w:t xml:space="preserve"> </w:t>
      </w:r>
      <w:r>
        <w:rPr>
          <w:rFonts w:ascii="宋体" w:hAnsi="宋体" w:eastAsia="宋体" w:cs="宋体"/>
          <w:color w:val="auto"/>
          <w:spacing w:val="5"/>
          <w:sz w:val="24"/>
          <w:szCs w:val="24"/>
          <w:highlight w:val="none"/>
        </w:rPr>
        <w:t>公里，其中新建里程约</w:t>
      </w:r>
      <w:r>
        <w:rPr>
          <w:rFonts w:ascii="宋体" w:hAnsi="宋体" w:eastAsia="宋体" w:cs="宋体"/>
          <w:color w:val="auto"/>
          <w:spacing w:val="-39"/>
          <w:sz w:val="24"/>
          <w:szCs w:val="24"/>
          <w:highlight w:val="none"/>
        </w:rPr>
        <w:t xml:space="preserve"> </w:t>
      </w:r>
      <w:r>
        <w:rPr>
          <w:rFonts w:ascii="宋体" w:hAnsi="宋体" w:eastAsia="宋体" w:cs="宋体"/>
          <w:color w:val="auto"/>
          <w:spacing w:val="5"/>
          <w:sz w:val="24"/>
          <w:szCs w:val="24"/>
          <w:highlight w:val="none"/>
        </w:rPr>
        <w:t>60.28</w:t>
      </w:r>
      <w:r>
        <w:rPr>
          <w:rFonts w:ascii="宋体" w:hAnsi="宋体" w:eastAsia="宋体" w:cs="宋体"/>
          <w:color w:val="auto"/>
          <w:spacing w:val="-33"/>
          <w:sz w:val="24"/>
          <w:szCs w:val="24"/>
          <w:highlight w:val="none"/>
        </w:rPr>
        <w:t xml:space="preserve"> </w:t>
      </w:r>
      <w:r>
        <w:rPr>
          <w:rFonts w:ascii="宋体" w:hAnsi="宋体" w:eastAsia="宋体" w:cs="宋体"/>
          <w:color w:val="auto"/>
          <w:spacing w:val="5"/>
          <w:sz w:val="24"/>
          <w:szCs w:val="24"/>
          <w:highlight w:val="none"/>
        </w:rPr>
        <w:t>公里。新建段采用双向四车道高速公路技术标</w:t>
      </w:r>
      <w:r>
        <w:rPr>
          <w:rFonts w:ascii="宋体" w:hAnsi="宋体" w:eastAsia="宋体" w:cs="宋体"/>
          <w:color w:val="auto"/>
          <w:spacing w:val="-2"/>
          <w:sz w:val="24"/>
          <w:szCs w:val="24"/>
          <w:highlight w:val="none"/>
        </w:rPr>
        <w:t>准，设计速度</w:t>
      </w:r>
      <w:r>
        <w:rPr>
          <w:rFonts w:ascii="宋体" w:hAnsi="宋体" w:eastAsia="宋体" w:cs="宋体"/>
          <w:color w:val="auto"/>
          <w:spacing w:val="-33"/>
          <w:sz w:val="24"/>
          <w:szCs w:val="24"/>
          <w:highlight w:val="none"/>
        </w:rPr>
        <w:t xml:space="preserve"> </w:t>
      </w:r>
      <w:r>
        <w:rPr>
          <w:rFonts w:ascii="宋体" w:hAnsi="宋体" w:eastAsia="宋体" w:cs="宋体"/>
          <w:color w:val="auto"/>
          <w:spacing w:val="-2"/>
          <w:sz w:val="24"/>
          <w:szCs w:val="24"/>
          <w:highlight w:val="none"/>
        </w:rPr>
        <w:t>100</w:t>
      </w:r>
      <w:r>
        <w:rPr>
          <w:rFonts w:ascii="宋体" w:hAnsi="宋体" w:eastAsia="宋体" w:cs="宋体"/>
          <w:color w:val="auto"/>
          <w:spacing w:val="-44"/>
          <w:sz w:val="24"/>
          <w:szCs w:val="24"/>
          <w:highlight w:val="none"/>
        </w:rPr>
        <w:t xml:space="preserve"> </w:t>
      </w:r>
      <w:r>
        <w:rPr>
          <w:rFonts w:ascii="宋体" w:hAnsi="宋体" w:eastAsia="宋体" w:cs="宋体"/>
          <w:color w:val="auto"/>
          <w:spacing w:val="-2"/>
          <w:sz w:val="24"/>
          <w:szCs w:val="24"/>
          <w:highlight w:val="none"/>
        </w:rPr>
        <w:t>公里/小时，路基宽度</w:t>
      </w:r>
      <w:r>
        <w:rPr>
          <w:rFonts w:ascii="宋体" w:hAnsi="宋体" w:eastAsia="宋体" w:cs="宋体"/>
          <w:color w:val="auto"/>
          <w:spacing w:val="-47"/>
          <w:sz w:val="24"/>
          <w:szCs w:val="24"/>
          <w:highlight w:val="none"/>
        </w:rPr>
        <w:t xml:space="preserve"> </w:t>
      </w:r>
      <w:r>
        <w:rPr>
          <w:rFonts w:ascii="宋体" w:hAnsi="宋体" w:eastAsia="宋体" w:cs="宋体"/>
          <w:color w:val="auto"/>
          <w:spacing w:val="-2"/>
          <w:sz w:val="24"/>
          <w:szCs w:val="24"/>
          <w:highlight w:val="none"/>
        </w:rPr>
        <w:t>26</w:t>
      </w:r>
      <w:r>
        <w:rPr>
          <w:rFonts w:ascii="宋体" w:hAnsi="宋体" w:eastAsia="宋体" w:cs="宋体"/>
          <w:color w:val="auto"/>
          <w:spacing w:val="-51"/>
          <w:sz w:val="24"/>
          <w:szCs w:val="24"/>
          <w:highlight w:val="none"/>
        </w:rPr>
        <w:t xml:space="preserve"> </w:t>
      </w:r>
      <w:r>
        <w:rPr>
          <w:rFonts w:ascii="宋体" w:hAnsi="宋体" w:eastAsia="宋体" w:cs="宋体"/>
          <w:color w:val="auto"/>
          <w:spacing w:val="-2"/>
          <w:sz w:val="24"/>
          <w:szCs w:val="24"/>
          <w:highlight w:val="none"/>
        </w:rPr>
        <w:t>米，桥涵设</w:t>
      </w:r>
      <w:r>
        <w:rPr>
          <w:rFonts w:ascii="宋体" w:hAnsi="宋体" w:eastAsia="宋体" w:cs="宋体"/>
          <w:color w:val="auto"/>
          <w:spacing w:val="-3"/>
          <w:sz w:val="24"/>
          <w:szCs w:val="24"/>
          <w:highlight w:val="none"/>
        </w:rPr>
        <w:t>计汽车荷载采用公路-I</w:t>
      </w:r>
      <w:r>
        <w:rPr>
          <w:rFonts w:ascii="宋体" w:hAnsi="宋体" w:eastAsia="宋体" w:cs="宋体"/>
          <w:color w:val="auto"/>
          <w:spacing w:val="-47"/>
          <w:sz w:val="24"/>
          <w:szCs w:val="24"/>
          <w:highlight w:val="none"/>
        </w:rPr>
        <w:t xml:space="preserve"> </w:t>
      </w:r>
      <w:r>
        <w:rPr>
          <w:rFonts w:ascii="宋体" w:hAnsi="宋体" w:eastAsia="宋体" w:cs="宋体"/>
          <w:color w:val="auto"/>
          <w:spacing w:val="-3"/>
          <w:sz w:val="24"/>
          <w:szCs w:val="24"/>
          <w:highlight w:val="none"/>
        </w:rPr>
        <w:t>级。</w:t>
      </w:r>
    </w:p>
    <w:p w14:paraId="391D1C38">
      <w:pPr>
        <w:spacing w:line="220" w:lineRule="auto"/>
        <w:ind w:left="484"/>
        <w:rPr>
          <w:rFonts w:ascii="宋体" w:hAnsi="宋体" w:eastAsia="宋体" w:cs="宋体"/>
          <w:color w:val="auto"/>
          <w:sz w:val="24"/>
          <w:szCs w:val="24"/>
          <w:highlight w:val="none"/>
        </w:rPr>
      </w:pPr>
      <w:r>
        <w:rPr>
          <w:rFonts w:ascii="Times New Roman" w:hAnsi="Times New Roman" w:eastAsia="Times New Roman" w:cs="Times New Roman"/>
          <w:color w:val="auto"/>
          <w:spacing w:val="-1"/>
          <w:sz w:val="24"/>
          <w:szCs w:val="24"/>
          <w:highlight w:val="none"/>
        </w:rPr>
        <w:t xml:space="preserve">2.2  </w:t>
      </w:r>
      <w:r>
        <w:rPr>
          <w:rFonts w:ascii="宋体" w:hAnsi="宋体" w:eastAsia="宋体" w:cs="宋体"/>
          <w:color w:val="auto"/>
          <w:spacing w:val="-1"/>
          <w:sz w:val="24"/>
          <w:szCs w:val="24"/>
          <w:highlight w:val="none"/>
        </w:rPr>
        <w:t>招标范围：</w:t>
      </w:r>
    </w:p>
    <w:p w14:paraId="5EADB37B">
      <w:pPr>
        <w:keepNext w:val="0"/>
        <w:keepLines w:val="0"/>
        <w:pageBreakBefore w:val="0"/>
        <w:widowControl w:val="0"/>
        <w:kinsoku/>
        <w:wordWrap/>
        <w:overflowPunct/>
        <w:topLinePunct w:val="0"/>
        <w:autoSpaceDE/>
        <w:autoSpaceDN/>
        <w:bidi w:val="0"/>
        <w:adjustRightInd/>
        <w:snapToGrid/>
        <w:spacing w:line="360" w:lineRule="auto"/>
        <w:ind w:firstLine="500" w:firstLineChars="200"/>
        <w:jc w:val="both"/>
        <w:textAlignment w:val="auto"/>
        <w:rPr>
          <w:rFonts w:ascii="宋体" w:hAnsi="宋体" w:eastAsia="宋体" w:cs="宋体"/>
          <w:color w:val="auto"/>
          <w:spacing w:val="5"/>
          <w:sz w:val="24"/>
          <w:szCs w:val="24"/>
          <w:highlight w:val="none"/>
        </w:rPr>
      </w:pPr>
      <w:r>
        <w:rPr>
          <w:rFonts w:ascii="宋体" w:hAnsi="宋体" w:eastAsia="宋体" w:cs="宋体"/>
          <w:color w:val="auto"/>
          <w:spacing w:val="5"/>
          <w:sz w:val="24"/>
          <w:szCs w:val="24"/>
          <w:highlight w:val="none"/>
        </w:rPr>
        <w:t>本次招标范围为宝鸡北过境和钓渭至磻溪高速公路项目工程造价咨询服务。</w:t>
      </w:r>
    </w:p>
    <w:p w14:paraId="4DC9F805">
      <w:pPr>
        <w:spacing w:before="182" w:line="220" w:lineRule="auto"/>
        <w:ind w:left="484"/>
        <w:rPr>
          <w:rFonts w:ascii="宋体" w:hAnsi="宋体" w:eastAsia="宋体" w:cs="宋体"/>
          <w:color w:val="auto"/>
          <w:sz w:val="24"/>
          <w:szCs w:val="24"/>
          <w:highlight w:val="none"/>
        </w:rPr>
      </w:pPr>
      <w:r>
        <w:rPr>
          <w:rFonts w:ascii="Times New Roman" w:hAnsi="Times New Roman" w:eastAsia="Times New Roman" w:cs="Times New Roman"/>
          <w:color w:val="auto"/>
          <w:spacing w:val="-1"/>
          <w:sz w:val="24"/>
          <w:szCs w:val="24"/>
          <w:highlight w:val="none"/>
        </w:rPr>
        <w:t xml:space="preserve">2.3  </w:t>
      </w:r>
      <w:r>
        <w:rPr>
          <w:rFonts w:ascii="宋体" w:hAnsi="宋体" w:eastAsia="宋体" w:cs="宋体"/>
          <w:color w:val="auto"/>
          <w:spacing w:val="-1"/>
          <w:sz w:val="24"/>
          <w:szCs w:val="24"/>
          <w:highlight w:val="none"/>
        </w:rPr>
        <w:t>标段划分：</w:t>
      </w:r>
    </w:p>
    <w:p w14:paraId="457A80C2">
      <w:pPr>
        <w:keepNext w:val="0"/>
        <w:keepLines w:val="0"/>
        <w:pageBreakBefore w:val="0"/>
        <w:widowControl w:val="0"/>
        <w:kinsoku/>
        <w:wordWrap/>
        <w:overflowPunct/>
        <w:topLinePunct w:val="0"/>
        <w:autoSpaceDE/>
        <w:autoSpaceDN/>
        <w:bidi w:val="0"/>
        <w:adjustRightInd/>
        <w:snapToGrid/>
        <w:spacing w:line="360" w:lineRule="auto"/>
        <w:ind w:firstLine="500" w:firstLineChars="200"/>
        <w:jc w:val="both"/>
        <w:textAlignment w:val="auto"/>
        <w:rPr>
          <w:rFonts w:ascii="宋体" w:hAnsi="宋体" w:eastAsia="宋体" w:cs="宋体"/>
          <w:color w:val="auto"/>
          <w:spacing w:val="5"/>
          <w:sz w:val="24"/>
          <w:szCs w:val="24"/>
          <w:highlight w:val="none"/>
        </w:rPr>
      </w:pPr>
      <w:r>
        <w:rPr>
          <w:rFonts w:ascii="宋体" w:hAnsi="宋体" w:eastAsia="宋体" w:cs="宋体"/>
          <w:color w:val="auto"/>
          <w:spacing w:val="5"/>
          <w:sz w:val="24"/>
          <w:szCs w:val="24"/>
          <w:highlight w:val="none"/>
        </w:rPr>
        <w:t>本次招标范围为宝鸡北过境和钓渭至磻溪高速公路项目工程造价咨询服务招标，结合项目造价咨询相关工作的开展顺序、工作内容、和时间安排，本次招标划分为 3个标段，具体划分及标段内容详见下表：</w:t>
      </w:r>
    </w:p>
    <w:tbl>
      <w:tblPr>
        <w:tblStyle w:val="6"/>
        <w:tblW w:w="908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51"/>
        <w:gridCol w:w="1297"/>
        <w:gridCol w:w="5581"/>
        <w:gridCol w:w="1152"/>
      </w:tblGrid>
      <w:tr w14:paraId="63965A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051" w:type="dxa"/>
            <w:vAlign w:val="top"/>
          </w:tcPr>
          <w:p w14:paraId="5095B50B">
            <w:pPr>
              <w:pStyle w:val="5"/>
              <w:spacing w:before="266" w:line="220" w:lineRule="auto"/>
              <w:ind w:left="233"/>
              <w:rPr>
                <w:color w:val="auto"/>
                <w:sz w:val="24"/>
                <w:szCs w:val="24"/>
                <w:highlight w:val="none"/>
              </w:rPr>
            </w:pPr>
            <w:r>
              <w:rPr>
                <w:b/>
                <w:bCs/>
                <w:color w:val="auto"/>
                <w:spacing w:val="-8"/>
                <w:sz w:val="24"/>
                <w:szCs w:val="24"/>
                <w:highlight w:val="none"/>
              </w:rPr>
              <w:t>标</w:t>
            </w:r>
            <w:r>
              <w:rPr>
                <w:color w:val="auto"/>
                <w:spacing w:val="10"/>
                <w:sz w:val="24"/>
                <w:szCs w:val="24"/>
                <w:highlight w:val="none"/>
              </w:rPr>
              <w:t xml:space="preserve"> </w:t>
            </w:r>
            <w:r>
              <w:rPr>
                <w:b/>
                <w:bCs/>
                <w:color w:val="auto"/>
                <w:spacing w:val="-8"/>
                <w:sz w:val="24"/>
                <w:szCs w:val="24"/>
                <w:highlight w:val="none"/>
              </w:rPr>
              <w:t>段</w:t>
            </w:r>
          </w:p>
        </w:tc>
        <w:tc>
          <w:tcPr>
            <w:tcW w:w="1297" w:type="dxa"/>
            <w:vAlign w:val="top"/>
          </w:tcPr>
          <w:p w14:paraId="1295FBED">
            <w:pPr>
              <w:pStyle w:val="5"/>
              <w:spacing w:before="266" w:line="220" w:lineRule="auto"/>
              <w:ind w:left="175"/>
              <w:rPr>
                <w:color w:val="auto"/>
                <w:sz w:val="24"/>
                <w:szCs w:val="24"/>
                <w:highlight w:val="none"/>
              </w:rPr>
            </w:pPr>
            <w:r>
              <w:rPr>
                <w:b/>
                <w:bCs/>
                <w:color w:val="auto"/>
                <w:spacing w:val="-5"/>
                <w:sz w:val="24"/>
                <w:szCs w:val="24"/>
                <w:highlight w:val="none"/>
              </w:rPr>
              <w:t>建设项目</w:t>
            </w:r>
          </w:p>
        </w:tc>
        <w:tc>
          <w:tcPr>
            <w:tcW w:w="5581" w:type="dxa"/>
            <w:vAlign w:val="top"/>
          </w:tcPr>
          <w:p w14:paraId="5B584DBB">
            <w:pPr>
              <w:pStyle w:val="5"/>
              <w:spacing w:before="266" w:line="219" w:lineRule="auto"/>
              <w:ind w:left="2076"/>
              <w:rPr>
                <w:color w:val="auto"/>
                <w:sz w:val="24"/>
                <w:szCs w:val="24"/>
                <w:highlight w:val="none"/>
              </w:rPr>
            </w:pPr>
            <w:r>
              <w:rPr>
                <w:b/>
                <w:bCs/>
                <w:color w:val="auto"/>
                <w:spacing w:val="-4"/>
                <w:sz w:val="24"/>
                <w:szCs w:val="24"/>
                <w:highlight w:val="none"/>
              </w:rPr>
              <w:t>主要工作内容</w:t>
            </w:r>
          </w:p>
        </w:tc>
        <w:tc>
          <w:tcPr>
            <w:tcW w:w="1152" w:type="dxa"/>
            <w:vAlign w:val="top"/>
          </w:tcPr>
          <w:p w14:paraId="28BBCDE1">
            <w:pPr>
              <w:pStyle w:val="5"/>
              <w:spacing w:before="111"/>
              <w:ind w:left="220" w:right="213" w:firstLine="122"/>
              <w:rPr>
                <w:color w:val="auto"/>
                <w:sz w:val="24"/>
                <w:szCs w:val="24"/>
                <w:highlight w:val="none"/>
              </w:rPr>
            </w:pPr>
            <w:r>
              <w:rPr>
                <w:b/>
                <w:bCs/>
                <w:color w:val="auto"/>
                <w:spacing w:val="-8"/>
                <w:sz w:val="24"/>
                <w:szCs w:val="24"/>
                <w:highlight w:val="none"/>
              </w:rPr>
              <w:t>计划</w:t>
            </w:r>
            <w:r>
              <w:rPr>
                <w:b/>
                <w:bCs/>
                <w:color w:val="auto"/>
                <w:spacing w:val="-5"/>
                <w:sz w:val="24"/>
                <w:szCs w:val="24"/>
                <w:highlight w:val="none"/>
              </w:rPr>
              <w:t>服务期</w:t>
            </w:r>
          </w:p>
        </w:tc>
      </w:tr>
      <w:tr w14:paraId="561EE2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43" w:hRule="atLeast"/>
          <w:jc w:val="center"/>
        </w:trPr>
        <w:tc>
          <w:tcPr>
            <w:tcW w:w="1051" w:type="dxa"/>
            <w:vAlign w:val="center"/>
          </w:tcPr>
          <w:p w14:paraId="1F71ED62">
            <w:pPr>
              <w:pStyle w:val="5"/>
              <w:tabs>
                <w:tab w:val="center" w:pos="523"/>
              </w:tabs>
              <w:spacing w:before="72" w:line="219" w:lineRule="auto"/>
              <w:ind w:left="142"/>
              <w:jc w:val="center"/>
              <w:rPr>
                <w:color w:val="auto"/>
                <w:highlight w:val="none"/>
              </w:rPr>
            </w:pPr>
            <w:r>
              <w:rPr>
                <w:color w:val="auto"/>
                <w:spacing w:val="-1"/>
                <w:highlight w:val="none"/>
              </w:rPr>
              <w:t>BJZJ-01</w:t>
            </w:r>
          </w:p>
        </w:tc>
        <w:tc>
          <w:tcPr>
            <w:tcW w:w="1297" w:type="dxa"/>
            <w:vAlign w:val="center"/>
          </w:tcPr>
          <w:p w14:paraId="674AD49A">
            <w:pPr>
              <w:pStyle w:val="5"/>
              <w:spacing w:before="203" w:line="222" w:lineRule="auto"/>
              <w:ind w:left="215"/>
              <w:jc w:val="center"/>
              <w:rPr>
                <w:color w:val="auto"/>
                <w:highlight w:val="none"/>
              </w:rPr>
            </w:pPr>
            <w:r>
              <w:rPr>
                <w:color w:val="auto"/>
                <w:spacing w:val="-3"/>
                <w:highlight w:val="none"/>
              </w:rPr>
              <w:t>宝鸡北过</w:t>
            </w:r>
          </w:p>
          <w:p w14:paraId="0E3A7C5E">
            <w:pPr>
              <w:pStyle w:val="5"/>
              <w:spacing w:before="76" w:line="221" w:lineRule="auto"/>
              <w:ind w:left="213"/>
              <w:jc w:val="center"/>
              <w:rPr>
                <w:color w:val="auto"/>
                <w:highlight w:val="none"/>
              </w:rPr>
            </w:pPr>
            <w:r>
              <w:rPr>
                <w:color w:val="auto"/>
                <w:spacing w:val="-3"/>
                <w:highlight w:val="none"/>
              </w:rPr>
              <w:t>境和钓渭</w:t>
            </w:r>
          </w:p>
          <w:p w14:paraId="37B56FED">
            <w:pPr>
              <w:pStyle w:val="5"/>
              <w:spacing w:before="79" w:line="288" w:lineRule="auto"/>
              <w:ind w:left="321" w:right="207" w:hanging="107"/>
              <w:jc w:val="center"/>
              <w:rPr>
                <w:color w:val="auto"/>
                <w:highlight w:val="none"/>
              </w:rPr>
            </w:pPr>
            <w:r>
              <w:rPr>
                <w:color w:val="auto"/>
                <w:spacing w:val="-3"/>
                <w:highlight w:val="none"/>
              </w:rPr>
              <w:t>至磻溪高</w:t>
            </w:r>
            <w:r>
              <w:rPr>
                <w:color w:val="auto"/>
                <w:spacing w:val="-2"/>
                <w:highlight w:val="none"/>
              </w:rPr>
              <w:t>速公路</w:t>
            </w:r>
          </w:p>
        </w:tc>
        <w:tc>
          <w:tcPr>
            <w:tcW w:w="5581" w:type="dxa"/>
            <w:tcBorders/>
            <w:vAlign w:val="top"/>
          </w:tcPr>
          <w:p w14:paraId="54D8683E">
            <w:pPr>
              <w:pStyle w:val="5"/>
              <w:spacing w:before="31" w:line="281" w:lineRule="auto"/>
              <w:ind w:left="113" w:right="189" w:firstLine="16"/>
              <w:jc w:val="both"/>
              <w:rPr>
                <w:color w:val="auto"/>
                <w:spacing w:val="-1"/>
                <w:highlight w:val="none"/>
              </w:rPr>
            </w:pPr>
            <w:r>
              <w:rPr>
                <w:color w:val="auto"/>
                <w:spacing w:val="-1"/>
                <w:highlight w:val="none"/>
              </w:rPr>
              <w:t>1.编制工程量清单计量规则、项目工程量清单、清单预算（包含公开招标标段的最高投标限价</w:t>
            </w:r>
            <w:r>
              <w:rPr>
                <w:color w:val="auto"/>
                <w:spacing w:val="6"/>
                <w:highlight w:val="none"/>
              </w:rPr>
              <w:t>），</w:t>
            </w:r>
            <w:r>
              <w:rPr>
                <w:color w:val="auto"/>
                <w:spacing w:val="-1"/>
                <w:highlight w:val="none"/>
              </w:rPr>
              <w:t>包括路基桥隧工程、路面工程（含沥青供货）、房建工程（含大棚工程）、交通安全设施工程、机电工程、监理服务等其</w:t>
            </w:r>
            <w:r>
              <w:rPr>
                <w:color w:val="auto"/>
                <w:spacing w:val="-2"/>
                <w:highlight w:val="none"/>
              </w:rPr>
              <w:t>他服务类项目；</w:t>
            </w:r>
          </w:p>
          <w:p w14:paraId="348B95E2">
            <w:pPr>
              <w:pStyle w:val="5"/>
              <w:spacing w:before="39" w:line="287" w:lineRule="auto"/>
              <w:ind w:left="112" w:right="166" w:firstLine="3"/>
              <w:rPr>
                <w:color w:val="auto"/>
                <w:highlight w:val="none"/>
              </w:rPr>
            </w:pPr>
            <w:r>
              <w:rPr>
                <w:color w:val="auto"/>
                <w:spacing w:val="-2"/>
                <w:highlight w:val="none"/>
              </w:rPr>
              <w:t>2.审核各标段</w:t>
            </w:r>
            <w:r>
              <w:rPr>
                <w:color w:val="auto"/>
                <w:spacing w:val="-46"/>
                <w:highlight w:val="none"/>
              </w:rPr>
              <w:t xml:space="preserve"> </w:t>
            </w:r>
            <w:r>
              <w:rPr>
                <w:color w:val="auto"/>
                <w:spacing w:val="-2"/>
                <w:highlight w:val="none"/>
              </w:rPr>
              <w:t>0#工程量清单台账，包括路基桥隧工程、</w:t>
            </w:r>
            <w:r>
              <w:rPr>
                <w:color w:val="auto"/>
                <w:spacing w:val="-1"/>
                <w:highlight w:val="none"/>
              </w:rPr>
              <w:t>路面工程（含沥青供货）、交通安全设施工程、机电工</w:t>
            </w:r>
            <w:r>
              <w:rPr>
                <w:color w:val="auto"/>
                <w:spacing w:val="-4"/>
                <w:highlight w:val="none"/>
              </w:rPr>
              <w:t>程；</w:t>
            </w:r>
          </w:p>
          <w:p w14:paraId="5BA9999D">
            <w:pPr>
              <w:pStyle w:val="5"/>
              <w:spacing w:line="220" w:lineRule="auto"/>
              <w:ind w:left="117"/>
              <w:rPr>
                <w:color w:val="auto"/>
                <w:highlight w:val="none"/>
              </w:rPr>
            </w:pPr>
            <w:r>
              <w:rPr>
                <w:color w:val="auto"/>
                <w:spacing w:val="-1"/>
                <w:highlight w:val="none"/>
              </w:rPr>
              <w:t>3.其他服务（包括但不限于）：</w:t>
            </w:r>
          </w:p>
          <w:p w14:paraId="03D32DAF">
            <w:pPr>
              <w:pStyle w:val="5"/>
              <w:spacing w:before="78" w:line="287" w:lineRule="auto"/>
              <w:ind w:left="118" w:right="189" w:hanging="6"/>
              <w:rPr>
                <w:color w:val="auto"/>
                <w:highlight w:val="none"/>
              </w:rPr>
            </w:pPr>
            <w:r>
              <w:rPr>
                <w:color w:val="auto"/>
                <w:spacing w:val="-1"/>
                <w:highlight w:val="none"/>
              </w:rPr>
              <w:t>①编制项目费用管理、造价控制及资金使用执行情况报</w:t>
            </w:r>
            <w:r>
              <w:rPr>
                <w:color w:val="auto"/>
                <w:spacing w:val="-7"/>
                <w:highlight w:val="none"/>
              </w:rPr>
              <w:t>告；</w:t>
            </w:r>
          </w:p>
          <w:p w14:paraId="0083AA7A">
            <w:pPr>
              <w:pStyle w:val="5"/>
              <w:spacing w:before="2" w:line="287" w:lineRule="auto"/>
              <w:ind w:left="117" w:right="409" w:hanging="6"/>
              <w:rPr>
                <w:color w:val="auto"/>
                <w:highlight w:val="none"/>
              </w:rPr>
            </w:pPr>
            <w:r>
              <w:rPr>
                <w:color w:val="auto"/>
                <w:spacing w:val="-1"/>
                <w:highlight w:val="none"/>
              </w:rPr>
              <w:t>②按要求提供工程实施过程中的造价咨询服务工作成</w:t>
            </w:r>
            <w:r>
              <w:rPr>
                <w:color w:val="auto"/>
                <w:spacing w:val="-7"/>
                <w:highlight w:val="none"/>
              </w:rPr>
              <w:t>果；</w:t>
            </w:r>
          </w:p>
          <w:p w14:paraId="4D754274">
            <w:pPr>
              <w:pStyle w:val="5"/>
              <w:spacing w:line="218" w:lineRule="auto"/>
              <w:ind w:left="111"/>
              <w:rPr>
                <w:color w:val="auto"/>
                <w:highlight w:val="none"/>
              </w:rPr>
            </w:pPr>
            <w:r>
              <w:rPr>
                <w:color w:val="auto"/>
                <w:spacing w:val="-1"/>
                <w:highlight w:val="none"/>
              </w:rPr>
              <w:t>③配合、协调审计及诉讼等工作；</w:t>
            </w:r>
          </w:p>
          <w:p w14:paraId="2D588868">
            <w:pPr>
              <w:pStyle w:val="5"/>
              <w:spacing w:before="81" w:line="218" w:lineRule="auto"/>
              <w:ind w:left="111"/>
              <w:rPr>
                <w:color w:val="auto"/>
                <w:highlight w:val="none"/>
              </w:rPr>
            </w:pPr>
            <w:r>
              <w:rPr>
                <w:color w:val="auto"/>
                <w:spacing w:val="-1"/>
                <w:highlight w:val="none"/>
              </w:rPr>
              <w:t>④参与本项目造价咨询相关的合同谈判及洽商工作。</w:t>
            </w:r>
          </w:p>
        </w:tc>
        <w:tc>
          <w:tcPr>
            <w:tcW w:w="1152" w:type="dxa"/>
            <w:vMerge w:val="restart"/>
            <w:vAlign w:val="top"/>
          </w:tcPr>
          <w:p w14:paraId="066F122B">
            <w:pPr>
              <w:pStyle w:val="5"/>
              <w:spacing w:before="33" w:line="221" w:lineRule="auto"/>
              <w:ind w:left="179"/>
              <w:rPr>
                <w:color w:val="auto"/>
                <w:highlight w:val="none"/>
              </w:rPr>
            </w:pPr>
            <w:r>
              <w:rPr>
                <w:color w:val="auto"/>
                <w:spacing w:val="-11"/>
                <w:highlight w:val="none"/>
              </w:rPr>
              <w:t>自签订合</w:t>
            </w:r>
          </w:p>
          <w:p w14:paraId="3A18060B">
            <w:pPr>
              <w:pStyle w:val="5"/>
              <w:spacing w:before="77" w:line="221" w:lineRule="auto"/>
              <w:ind w:left="164"/>
              <w:rPr>
                <w:color w:val="auto"/>
                <w:highlight w:val="none"/>
              </w:rPr>
            </w:pPr>
            <w:r>
              <w:rPr>
                <w:color w:val="auto"/>
                <w:spacing w:val="-8"/>
                <w:highlight w:val="none"/>
              </w:rPr>
              <w:t>同之日起</w:t>
            </w:r>
          </w:p>
          <w:p w14:paraId="030BE8B7">
            <w:pPr>
              <w:pStyle w:val="5"/>
              <w:spacing w:before="80" w:line="220" w:lineRule="auto"/>
              <w:ind w:left="144"/>
              <w:rPr>
                <w:color w:val="auto"/>
                <w:highlight w:val="none"/>
              </w:rPr>
            </w:pPr>
            <w:r>
              <w:rPr>
                <w:color w:val="auto"/>
                <w:spacing w:val="-3"/>
                <w:highlight w:val="none"/>
              </w:rPr>
              <w:t>至项目竣</w:t>
            </w:r>
          </w:p>
          <w:p w14:paraId="4BC67FF8">
            <w:pPr>
              <w:pStyle w:val="5"/>
              <w:spacing w:before="81" w:line="220" w:lineRule="auto"/>
              <w:ind w:left="145"/>
              <w:rPr>
                <w:color w:val="auto"/>
                <w:highlight w:val="none"/>
              </w:rPr>
            </w:pPr>
            <w:r>
              <w:rPr>
                <w:color w:val="auto"/>
                <w:spacing w:val="-3"/>
                <w:highlight w:val="none"/>
              </w:rPr>
              <w:t>工审计完</w:t>
            </w:r>
          </w:p>
          <w:p w14:paraId="679E5828">
            <w:pPr>
              <w:pStyle w:val="5"/>
              <w:spacing w:before="78" w:line="221" w:lineRule="auto"/>
              <w:ind w:left="144"/>
              <w:rPr>
                <w:color w:val="auto"/>
                <w:highlight w:val="none"/>
              </w:rPr>
            </w:pPr>
            <w:r>
              <w:rPr>
                <w:color w:val="auto"/>
                <w:highlight w:val="none"/>
              </w:rPr>
              <w:t>成止，实</w:t>
            </w:r>
          </w:p>
          <w:p w14:paraId="57F3C1CC">
            <w:pPr>
              <w:pStyle w:val="5"/>
              <w:spacing w:before="37" w:line="221" w:lineRule="auto"/>
              <w:ind w:left="158"/>
              <w:rPr>
                <w:color w:val="auto"/>
                <w:highlight w:val="none"/>
              </w:rPr>
            </w:pPr>
            <w:r>
              <w:rPr>
                <w:color w:val="auto"/>
                <w:spacing w:val="-6"/>
                <w:highlight w:val="none"/>
              </w:rPr>
              <w:t>际进场时</w:t>
            </w:r>
          </w:p>
          <w:p w14:paraId="6BBC3E72">
            <w:pPr>
              <w:pStyle w:val="5"/>
              <w:spacing w:before="77" w:line="221" w:lineRule="auto"/>
              <w:ind w:left="160"/>
              <w:rPr>
                <w:color w:val="auto"/>
                <w:highlight w:val="none"/>
              </w:rPr>
            </w:pPr>
            <w:r>
              <w:rPr>
                <w:color w:val="auto"/>
                <w:spacing w:val="-7"/>
                <w:highlight w:val="none"/>
              </w:rPr>
              <w:t>间以发包</w:t>
            </w:r>
          </w:p>
          <w:p w14:paraId="71CAF0B1">
            <w:pPr>
              <w:pStyle w:val="5"/>
              <w:spacing w:before="79" w:line="222" w:lineRule="auto"/>
              <w:ind w:left="144"/>
              <w:rPr>
                <w:color w:val="auto"/>
                <w:highlight w:val="none"/>
              </w:rPr>
            </w:pPr>
            <w:r>
              <w:rPr>
                <w:color w:val="auto"/>
                <w:spacing w:val="-3"/>
                <w:highlight w:val="none"/>
              </w:rPr>
              <w:t>人通知为</w:t>
            </w:r>
          </w:p>
          <w:p w14:paraId="34D475A8">
            <w:pPr>
              <w:pStyle w:val="5"/>
              <w:spacing w:before="78" w:line="222" w:lineRule="auto"/>
              <w:ind w:left="473"/>
              <w:rPr>
                <w:color w:val="auto"/>
                <w:highlight w:val="none"/>
              </w:rPr>
            </w:pPr>
            <w:r>
              <w:rPr>
                <w:color w:val="auto"/>
                <w:highlight w:val="none"/>
              </w:rPr>
              <w:t>准</w:t>
            </w:r>
          </w:p>
        </w:tc>
      </w:tr>
      <w:tr w14:paraId="2E66F9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9" w:hRule="atLeast"/>
          <w:jc w:val="center"/>
        </w:trPr>
        <w:tc>
          <w:tcPr>
            <w:tcW w:w="1051" w:type="dxa"/>
            <w:vAlign w:val="top"/>
          </w:tcPr>
          <w:p w14:paraId="1F6473E8">
            <w:pPr>
              <w:spacing w:line="264" w:lineRule="auto"/>
              <w:rPr>
                <w:rFonts w:ascii="Arial"/>
                <w:color w:val="auto"/>
                <w:sz w:val="21"/>
                <w:highlight w:val="none"/>
              </w:rPr>
            </w:pPr>
          </w:p>
          <w:p w14:paraId="66DED29C">
            <w:pPr>
              <w:spacing w:line="264" w:lineRule="auto"/>
              <w:rPr>
                <w:rFonts w:ascii="Arial"/>
                <w:color w:val="auto"/>
                <w:sz w:val="21"/>
                <w:highlight w:val="none"/>
              </w:rPr>
            </w:pPr>
          </w:p>
          <w:p w14:paraId="7A7C4F9B">
            <w:pPr>
              <w:spacing w:line="265" w:lineRule="auto"/>
              <w:rPr>
                <w:rFonts w:ascii="Arial"/>
                <w:color w:val="auto"/>
                <w:sz w:val="21"/>
                <w:highlight w:val="none"/>
              </w:rPr>
            </w:pPr>
          </w:p>
          <w:p w14:paraId="2CFB5AE6">
            <w:pPr>
              <w:spacing w:line="265" w:lineRule="auto"/>
              <w:rPr>
                <w:rFonts w:ascii="Arial"/>
                <w:color w:val="auto"/>
                <w:sz w:val="21"/>
                <w:highlight w:val="none"/>
              </w:rPr>
            </w:pPr>
          </w:p>
          <w:p w14:paraId="2469236F">
            <w:pPr>
              <w:spacing w:line="265" w:lineRule="auto"/>
              <w:rPr>
                <w:rFonts w:ascii="Arial"/>
                <w:color w:val="auto"/>
                <w:sz w:val="21"/>
                <w:highlight w:val="none"/>
              </w:rPr>
            </w:pPr>
          </w:p>
          <w:p w14:paraId="7518427D">
            <w:pPr>
              <w:pStyle w:val="5"/>
              <w:spacing w:before="71" w:line="219" w:lineRule="auto"/>
              <w:ind w:left="142"/>
              <w:rPr>
                <w:color w:val="auto"/>
                <w:highlight w:val="none"/>
              </w:rPr>
            </w:pPr>
            <w:r>
              <w:rPr>
                <w:color w:val="auto"/>
                <w:spacing w:val="-1"/>
                <w:highlight w:val="none"/>
              </w:rPr>
              <w:t>BJZJ-02</w:t>
            </w:r>
          </w:p>
        </w:tc>
        <w:tc>
          <w:tcPr>
            <w:tcW w:w="1297" w:type="dxa"/>
            <w:vAlign w:val="top"/>
          </w:tcPr>
          <w:p w14:paraId="26E6E2FD">
            <w:pPr>
              <w:spacing w:line="271" w:lineRule="auto"/>
              <w:rPr>
                <w:rFonts w:ascii="Arial"/>
                <w:color w:val="auto"/>
                <w:sz w:val="21"/>
                <w:highlight w:val="none"/>
              </w:rPr>
            </w:pPr>
          </w:p>
          <w:p w14:paraId="0C398B08">
            <w:pPr>
              <w:spacing w:line="271" w:lineRule="auto"/>
              <w:rPr>
                <w:rFonts w:ascii="Arial"/>
                <w:color w:val="auto"/>
                <w:sz w:val="21"/>
                <w:highlight w:val="none"/>
              </w:rPr>
            </w:pPr>
          </w:p>
          <w:p w14:paraId="46F2EBEA">
            <w:pPr>
              <w:spacing w:line="272" w:lineRule="auto"/>
              <w:rPr>
                <w:rFonts w:ascii="Arial"/>
                <w:color w:val="auto"/>
                <w:sz w:val="21"/>
                <w:highlight w:val="none"/>
              </w:rPr>
            </w:pPr>
          </w:p>
          <w:p w14:paraId="647F2911">
            <w:pPr>
              <w:pStyle w:val="5"/>
              <w:spacing w:before="71" w:line="288" w:lineRule="auto"/>
              <w:ind w:left="213" w:right="207" w:firstLine="1"/>
              <w:jc w:val="both"/>
              <w:rPr>
                <w:color w:val="auto"/>
                <w:highlight w:val="none"/>
              </w:rPr>
            </w:pPr>
            <w:r>
              <w:rPr>
                <w:color w:val="auto"/>
                <w:spacing w:val="-3"/>
                <w:highlight w:val="none"/>
              </w:rPr>
              <w:t>宝鸡北过境和钓渭至磻溪高</w:t>
            </w:r>
            <w:r>
              <w:rPr>
                <w:color w:val="auto"/>
                <w:spacing w:val="34"/>
                <w:highlight w:val="none"/>
              </w:rPr>
              <w:t>速公路</w:t>
            </w:r>
          </w:p>
        </w:tc>
        <w:tc>
          <w:tcPr>
            <w:tcW w:w="5581" w:type="dxa"/>
            <w:vAlign w:val="top"/>
          </w:tcPr>
          <w:p w14:paraId="3372345C">
            <w:pPr>
              <w:pStyle w:val="5"/>
              <w:spacing w:before="35" w:line="287" w:lineRule="auto"/>
              <w:ind w:left="124" w:right="189" w:firstLine="5"/>
              <w:rPr>
                <w:color w:val="auto"/>
                <w:highlight w:val="none"/>
              </w:rPr>
            </w:pPr>
            <w:r>
              <w:rPr>
                <w:color w:val="auto"/>
                <w:spacing w:val="-1"/>
                <w:highlight w:val="none"/>
              </w:rPr>
              <w:t>1.房建及收费大棚工程结算工程量清单编制和结算费用</w:t>
            </w:r>
            <w:r>
              <w:rPr>
                <w:color w:val="auto"/>
                <w:spacing w:val="-7"/>
                <w:highlight w:val="none"/>
              </w:rPr>
              <w:t>审核；</w:t>
            </w:r>
          </w:p>
          <w:p w14:paraId="7915043B">
            <w:pPr>
              <w:pStyle w:val="5"/>
              <w:spacing w:line="220" w:lineRule="auto"/>
              <w:ind w:left="115"/>
              <w:rPr>
                <w:color w:val="auto"/>
                <w:highlight w:val="none"/>
              </w:rPr>
            </w:pPr>
            <w:r>
              <w:rPr>
                <w:color w:val="auto"/>
                <w:spacing w:val="-1"/>
                <w:highlight w:val="none"/>
              </w:rPr>
              <w:t>2.审核索赔及其他费用文件；</w:t>
            </w:r>
          </w:p>
          <w:p w14:paraId="2173E335">
            <w:pPr>
              <w:pStyle w:val="5"/>
              <w:spacing w:before="80" w:line="219" w:lineRule="auto"/>
              <w:ind w:left="117"/>
              <w:rPr>
                <w:color w:val="auto"/>
                <w:highlight w:val="none"/>
              </w:rPr>
            </w:pPr>
            <w:r>
              <w:rPr>
                <w:color w:val="auto"/>
                <w:spacing w:val="-2"/>
                <w:highlight w:val="none"/>
              </w:rPr>
              <w:t>3.编制新增单价；</w:t>
            </w:r>
          </w:p>
          <w:p w14:paraId="1C18BAAD">
            <w:pPr>
              <w:pStyle w:val="5"/>
              <w:spacing w:before="80" w:line="220" w:lineRule="auto"/>
              <w:ind w:left="112"/>
              <w:rPr>
                <w:color w:val="auto"/>
                <w:highlight w:val="none"/>
              </w:rPr>
            </w:pPr>
            <w:r>
              <w:rPr>
                <w:color w:val="auto"/>
                <w:spacing w:val="-1"/>
                <w:highlight w:val="none"/>
              </w:rPr>
              <w:t>4.其他服务（包括但不限于</w:t>
            </w:r>
            <w:r>
              <w:rPr>
                <w:color w:val="auto"/>
                <w:spacing w:val="2"/>
                <w:highlight w:val="none"/>
              </w:rPr>
              <w:t>）：</w:t>
            </w:r>
          </w:p>
          <w:p w14:paraId="77241D53">
            <w:pPr>
              <w:pStyle w:val="5"/>
              <w:spacing w:before="80" w:line="287" w:lineRule="auto"/>
              <w:ind w:left="117" w:right="409" w:hanging="5"/>
              <w:rPr>
                <w:color w:val="auto"/>
                <w:highlight w:val="none"/>
              </w:rPr>
            </w:pPr>
            <w:r>
              <w:rPr>
                <w:color w:val="auto"/>
                <w:spacing w:val="-1"/>
                <w:highlight w:val="none"/>
              </w:rPr>
              <w:t>①按要求提供工程实施过程中的造价咨询服务工作成</w:t>
            </w:r>
            <w:r>
              <w:rPr>
                <w:color w:val="auto"/>
                <w:spacing w:val="-7"/>
                <w:highlight w:val="none"/>
              </w:rPr>
              <w:t>果；</w:t>
            </w:r>
          </w:p>
          <w:p w14:paraId="203E82F1">
            <w:pPr>
              <w:pStyle w:val="5"/>
              <w:spacing w:line="218" w:lineRule="auto"/>
              <w:ind w:left="111"/>
              <w:rPr>
                <w:color w:val="auto"/>
                <w:highlight w:val="none"/>
              </w:rPr>
            </w:pPr>
            <w:r>
              <w:rPr>
                <w:color w:val="auto"/>
                <w:spacing w:val="-1"/>
                <w:highlight w:val="none"/>
              </w:rPr>
              <w:t>②配合、协调审计及诉讼等工作；</w:t>
            </w:r>
          </w:p>
          <w:p w14:paraId="38084F09">
            <w:pPr>
              <w:pStyle w:val="5"/>
              <w:spacing w:before="83" w:line="218" w:lineRule="auto"/>
              <w:ind w:left="111"/>
              <w:rPr>
                <w:color w:val="auto"/>
                <w:highlight w:val="none"/>
              </w:rPr>
            </w:pPr>
            <w:r>
              <w:rPr>
                <w:color w:val="auto"/>
                <w:spacing w:val="-1"/>
                <w:highlight w:val="none"/>
              </w:rPr>
              <w:t>③参与本项目造价咨询相关的合同谈判及洽商工作。</w:t>
            </w:r>
          </w:p>
        </w:tc>
        <w:tc>
          <w:tcPr>
            <w:tcW w:w="1152" w:type="dxa"/>
            <w:vMerge w:val="continue"/>
            <w:vAlign w:val="top"/>
          </w:tcPr>
          <w:p w14:paraId="3AD88F35">
            <w:pPr>
              <w:rPr>
                <w:rFonts w:ascii="Arial"/>
                <w:color w:val="auto"/>
                <w:sz w:val="21"/>
                <w:highlight w:val="none"/>
              </w:rPr>
            </w:pPr>
          </w:p>
        </w:tc>
      </w:tr>
      <w:tr w14:paraId="76FB56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1" w:hRule="atLeast"/>
          <w:jc w:val="center"/>
        </w:trPr>
        <w:tc>
          <w:tcPr>
            <w:tcW w:w="1051" w:type="dxa"/>
            <w:vAlign w:val="top"/>
          </w:tcPr>
          <w:p w14:paraId="15EF8A77">
            <w:pPr>
              <w:spacing w:line="267" w:lineRule="auto"/>
              <w:rPr>
                <w:rFonts w:ascii="Arial"/>
                <w:color w:val="auto"/>
                <w:sz w:val="21"/>
                <w:highlight w:val="none"/>
              </w:rPr>
            </w:pPr>
          </w:p>
          <w:p w14:paraId="4C8C697E">
            <w:pPr>
              <w:spacing w:line="267" w:lineRule="auto"/>
              <w:rPr>
                <w:rFonts w:ascii="Arial"/>
                <w:color w:val="auto"/>
                <w:sz w:val="21"/>
                <w:highlight w:val="none"/>
              </w:rPr>
            </w:pPr>
          </w:p>
          <w:p w14:paraId="6CCA8314">
            <w:pPr>
              <w:spacing w:line="267" w:lineRule="auto"/>
              <w:rPr>
                <w:rFonts w:ascii="Arial"/>
                <w:color w:val="auto"/>
                <w:sz w:val="21"/>
                <w:highlight w:val="none"/>
              </w:rPr>
            </w:pPr>
          </w:p>
          <w:p w14:paraId="1A002634">
            <w:pPr>
              <w:spacing w:line="267" w:lineRule="auto"/>
              <w:rPr>
                <w:rFonts w:ascii="Arial"/>
                <w:color w:val="auto"/>
                <w:sz w:val="21"/>
                <w:highlight w:val="none"/>
              </w:rPr>
            </w:pPr>
          </w:p>
          <w:p w14:paraId="3FF569D5">
            <w:pPr>
              <w:spacing w:line="268" w:lineRule="auto"/>
              <w:rPr>
                <w:rFonts w:ascii="Arial"/>
                <w:color w:val="auto"/>
                <w:sz w:val="21"/>
                <w:highlight w:val="none"/>
              </w:rPr>
            </w:pPr>
          </w:p>
          <w:p w14:paraId="3500B6AB">
            <w:pPr>
              <w:spacing w:line="268" w:lineRule="auto"/>
              <w:rPr>
                <w:rFonts w:ascii="Arial"/>
                <w:color w:val="auto"/>
                <w:sz w:val="21"/>
                <w:highlight w:val="none"/>
              </w:rPr>
            </w:pPr>
          </w:p>
          <w:p w14:paraId="4A9347AD">
            <w:pPr>
              <w:pStyle w:val="5"/>
              <w:spacing w:before="71" w:line="219" w:lineRule="auto"/>
              <w:ind w:left="142"/>
              <w:rPr>
                <w:color w:val="auto"/>
                <w:highlight w:val="none"/>
              </w:rPr>
            </w:pPr>
            <w:r>
              <w:rPr>
                <w:color w:val="auto"/>
                <w:spacing w:val="-1"/>
                <w:highlight w:val="none"/>
              </w:rPr>
              <w:t>BJZJ-03</w:t>
            </w:r>
          </w:p>
        </w:tc>
        <w:tc>
          <w:tcPr>
            <w:tcW w:w="1297" w:type="dxa"/>
            <w:vAlign w:val="top"/>
          </w:tcPr>
          <w:p w14:paraId="2F733ABA">
            <w:pPr>
              <w:spacing w:line="273" w:lineRule="auto"/>
              <w:rPr>
                <w:rFonts w:ascii="Arial"/>
                <w:color w:val="auto"/>
                <w:sz w:val="21"/>
                <w:highlight w:val="none"/>
              </w:rPr>
            </w:pPr>
          </w:p>
          <w:p w14:paraId="7C944066">
            <w:pPr>
              <w:spacing w:line="273" w:lineRule="auto"/>
              <w:rPr>
                <w:rFonts w:ascii="Arial"/>
                <w:color w:val="auto"/>
                <w:sz w:val="21"/>
                <w:highlight w:val="none"/>
              </w:rPr>
            </w:pPr>
          </w:p>
          <w:p w14:paraId="41EEC404">
            <w:pPr>
              <w:spacing w:line="273" w:lineRule="auto"/>
              <w:rPr>
                <w:rFonts w:ascii="Arial"/>
                <w:color w:val="auto"/>
                <w:sz w:val="21"/>
                <w:highlight w:val="none"/>
              </w:rPr>
            </w:pPr>
          </w:p>
          <w:p w14:paraId="4F280188">
            <w:pPr>
              <w:spacing w:line="274" w:lineRule="auto"/>
              <w:rPr>
                <w:rFonts w:ascii="Arial"/>
                <w:color w:val="auto"/>
                <w:sz w:val="21"/>
                <w:highlight w:val="none"/>
              </w:rPr>
            </w:pPr>
          </w:p>
          <w:p w14:paraId="3E7E98C8">
            <w:pPr>
              <w:pStyle w:val="5"/>
              <w:spacing w:before="71" w:line="288" w:lineRule="auto"/>
              <w:ind w:left="213" w:right="207" w:firstLine="1"/>
              <w:jc w:val="both"/>
              <w:rPr>
                <w:color w:val="auto"/>
                <w:highlight w:val="none"/>
              </w:rPr>
            </w:pPr>
            <w:r>
              <w:rPr>
                <w:color w:val="auto"/>
                <w:spacing w:val="-3"/>
                <w:highlight w:val="none"/>
              </w:rPr>
              <w:t>宝鸡北过境和钓渭至磻溪高</w:t>
            </w:r>
            <w:r>
              <w:rPr>
                <w:color w:val="auto"/>
                <w:spacing w:val="34"/>
                <w:highlight w:val="none"/>
              </w:rPr>
              <w:t>速公路</w:t>
            </w:r>
          </w:p>
        </w:tc>
        <w:tc>
          <w:tcPr>
            <w:tcW w:w="5581" w:type="dxa"/>
            <w:vAlign w:val="top"/>
          </w:tcPr>
          <w:p w14:paraId="0E23D0F4">
            <w:pPr>
              <w:pStyle w:val="5"/>
              <w:spacing w:before="143" w:line="219" w:lineRule="auto"/>
              <w:ind w:left="129"/>
              <w:rPr>
                <w:color w:val="auto"/>
                <w:highlight w:val="none"/>
              </w:rPr>
            </w:pPr>
            <w:r>
              <w:rPr>
                <w:color w:val="auto"/>
                <w:spacing w:val="-2"/>
                <w:highlight w:val="none"/>
              </w:rPr>
              <w:t>1.编制工程结算书、竣工决算文件；</w:t>
            </w:r>
          </w:p>
          <w:p w14:paraId="1D9561B5">
            <w:pPr>
              <w:pStyle w:val="5"/>
              <w:spacing w:before="81" w:line="219" w:lineRule="auto"/>
              <w:ind w:left="115"/>
              <w:rPr>
                <w:color w:val="auto"/>
                <w:highlight w:val="none"/>
              </w:rPr>
            </w:pPr>
            <w:r>
              <w:rPr>
                <w:color w:val="auto"/>
                <w:spacing w:val="-1"/>
                <w:highlight w:val="none"/>
              </w:rPr>
              <w:t>2.编制超出项目公司权限变更文件的新增子目单价；</w:t>
            </w:r>
          </w:p>
          <w:p w14:paraId="2EBB2C16">
            <w:pPr>
              <w:pStyle w:val="5"/>
              <w:spacing w:before="80" w:line="220" w:lineRule="auto"/>
              <w:ind w:left="117"/>
              <w:rPr>
                <w:color w:val="auto"/>
                <w:highlight w:val="none"/>
              </w:rPr>
            </w:pPr>
            <w:r>
              <w:rPr>
                <w:color w:val="auto"/>
                <w:spacing w:val="-1"/>
                <w:highlight w:val="none"/>
              </w:rPr>
              <w:t>3.审核超出项目公司权限的费用文件；</w:t>
            </w:r>
          </w:p>
          <w:p w14:paraId="17B66507">
            <w:pPr>
              <w:pStyle w:val="5"/>
              <w:spacing w:before="80" w:line="219" w:lineRule="auto"/>
              <w:ind w:left="112"/>
              <w:rPr>
                <w:color w:val="auto"/>
                <w:highlight w:val="none"/>
              </w:rPr>
            </w:pPr>
            <w:r>
              <w:rPr>
                <w:color w:val="auto"/>
                <w:spacing w:val="-1"/>
                <w:highlight w:val="none"/>
              </w:rPr>
              <w:t>4.审核价格调整权重系数；</w:t>
            </w:r>
          </w:p>
          <w:p w14:paraId="35E294C4">
            <w:pPr>
              <w:pStyle w:val="5"/>
              <w:spacing w:before="82" w:line="220" w:lineRule="auto"/>
              <w:ind w:left="117"/>
              <w:rPr>
                <w:color w:val="auto"/>
                <w:highlight w:val="none"/>
              </w:rPr>
            </w:pPr>
            <w:r>
              <w:rPr>
                <w:color w:val="auto"/>
                <w:spacing w:val="-1"/>
                <w:highlight w:val="none"/>
              </w:rPr>
              <w:t>5.其他服务（包括但不限于）：</w:t>
            </w:r>
          </w:p>
          <w:p w14:paraId="6DE877A3">
            <w:pPr>
              <w:pStyle w:val="5"/>
              <w:spacing w:before="78" w:line="288" w:lineRule="auto"/>
              <w:ind w:left="118" w:right="189" w:hanging="6"/>
              <w:rPr>
                <w:color w:val="auto"/>
                <w:highlight w:val="none"/>
              </w:rPr>
            </w:pPr>
            <w:r>
              <w:rPr>
                <w:color w:val="auto"/>
                <w:spacing w:val="-1"/>
                <w:highlight w:val="none"/>
              </w:rPr>
              <w:t>①编制项目费用管理、造价控制及资金使用执行情况报</w:t>
            </w:r>
            <w:r>
              <w:rPr>
                <w:color w:val="auto"/>
                <w:spacing w:val="-7"/>
                <w:highlight w:val="none"/>
              </w:rPr>
              <w:t>告；</w:t>
            </w:r>
          </w:p>
          <w:p w14:paraId="47E490F0">
            <w:pPr>
              <w:pStyle w:val="5"/>
              <w:spacing w:line="287" w:lineRule="auto"/>
              <w:ind w:left="117" w:right="409" w:hanging="6"/>
              <w:rPr>
                <w:color w:val="auto"/>
                <w:highlight w:val="none"/>
              </w:rPr>
            </w:pPr>
            <w:r>
              <w:rPr>
                <w:color w:val="auto"/>
                <w:spacing w:val="-1"/>
                <w:highlight w:val="none"/>
              </w:rPr>
              <w:t>②按要求提供工程实施过程中的造价咨询服务工作成</w:t>
            </w:r>
            <w:r>
              <w:rPr>
                <w:color w:val="auto"/>
                <w:spacing w:val="-7"/>
                <w:highlight w:val="none"/>
              </w:rPr>
              <w:t>果；</w:t>
            </w:r>
          </w:p>
          <w:p w14:paraId="6879A6DF">
            <w:pPr>
              <w:pStyle w:val="5"/>
              <w:spacing w:line="218" w:lineRule="auto"/>
              <w:ind w:left="111"/>
              <w:rPr>
                <w:color w:val="auto"/>
                <w:highlight w:val="none"/>
              </w:rPr>
            </w:pPr>
            <w:r>
              <w:rPr>
                <w:color w:val="auto"/>
                <w:spacing w:val="-1"/>
                <w:highlight w:val="none"/>
              </w:rPr>
              <w:t>③配合、协调审计及诉讼等工作。</w:t>
            </w:r>
          </w:p>
        </w:tc>
        <w:tc>
          <w:tcPr>
            <w:tcW w:w="1152" w:type="dxa"/>
            <w:vMerge w:val="continue"/>
            <w:vAlign w:val="top"/>
          </w:tcPr>
          <w:p w14:paraId="52225841">
            <w:pPr>
              <w:rPr>
                <w:rFonts w:ascii="Arial"/>
                <w:color w:val="auto"/>
                <w:sz w:val="21"/>
                <w:highlight w:val="none"/>
              </w:rPr>
            </w:pPr>
          </w:p>
        </w:tc>
      </w:tr>
    </w:tbl>
    <w:p w14:paraId="3F6F67C1">
      <w:pPr>
        <w:spacing w:before="78" w:line="219" w:lineRule="auto"/>
        <w:ind w:left="489"/>
        <w:rPr>
          <w:rFonts w:ascii="宋体" w:hAnsi="宋体" w:eastAsia="宋体" w:cs="宋体"/>
          <w:color w:val="auto"/>
          <w:sz w:val="24"/>
          <w:szCs w:val="24"/>
          <w:highlight w:val="none"/>
        </w:rPr>
      </w:pPr>
      <w:r>
        <w:rPr>
          <w:rFonts w:ascii="Calibri" w:hAnsi="Calibri" w:eastAsia="Calibri" w:cs="Calibri"/>
          <w:b/>
          <w:bCs/>
          <w:color w:val="auto"/>
          <w:spacing w:val="-3"/>
          <w:sz w:val="24"/>
          <w:szCs w:val="24"/>
          <w:highlight w:val="none"/>
        </w:rPr>
        <w:t>3.</w:t>
      </w:r>
      <w:r>
        <w:rPr>
          <w:rFonts w:ascii="宋体" w:hAnsi="宋体" w:eastAsia="宋体" w:cs="宋体"/>
          <w:b/>
          <w:bCs/>
          <w:color w:val="auto"/>
          <w:spacing w:val="-3"/>
          <w:sz w:val="24"/>
          <w:szCs w:val="24"/>
          <w:highlight w:val="none"/>
        </w:rPr>
        <w:t>投标人资格要求</w:t>
      </w:r>
    </w:p>
    <w:p w14:paraId="06B95DA1">
      <w:pPr>
        <w:keepNext w:val="0"/>
        <w:keepLines w:val="0"/>
        <w:pageBreakBefore w:val="0"/>
        <w:widowControl w:val="0"/>
        <w:kinsoku/>
        <w:wordWrap/>
        <w:overflowPunct/>
        <w:topLinePunct w:val="0"/>
        <w:autoSpaceDE/>
        <w:autoSpaceDN/>
        <w:bidi w:val="0"/>
        <w:adjustRightInd/>
        <w:snapToGrid/>
        <w:spacing w:line="360" w:lineRule="auto"/>
        <w:ind w:firstLine="500" w:firstLineChars="200"/>
        <w:jc w:val="both"/>
        <w:textAlignment w:val="auto"/>
        <w:rPr>
          <w:rFonts w:ascii="宋体" w:hAnsi="宋体" w:eastAsia="宋体" w:cs="宋体"/>
          <w:color w:val="auto"/>
          <w:spacing w:val="5"/>
          <w:sz w:val="24"/>
          <w:szCs w:val="24"/>
          <w:highlight w:val="none"/>
        </w:rPr>
      </w:pPr>
      <w:r>
        <w:rPr>
          <w:rFonts w:ascii="宋体" w:hAnsi="宋体" w:eastAsia="宋体" w:cs="宋体"/>
          <w:color w:val="auto"/>
          <w:spacing w:val="5"/>
          <w:sz w:val="24"/>
          <w:szCs w:val="24"/>
          <w:highlight w:val="none"/>
        </w:rPr>
        <w:t>3.1 投标人资格能力要求：具有独立法人资格，具备相应资质和业绩，在人员、设备、资金等方面具备相应能力，信誉良好的单位均可参加投标。</w:t>
      </w:r>
    </w:p>
    <w:p w14:paraId="4484AAD6">
      <w:pPr>
        <w:spacing w:line="219" w:lineRule="auto"/>
        <w:ind w:left="500"/>
        <w:rPr>
          <w:rFonts w:ascii="宋体" w:hAnsi="宋体" w:eastAsia="宋体" w:cs="宋体"/>
          <w:color w:val="auto"/>
          <w:sz w:val="24"/>
          <w:szCs w:val="24"/>
          <w:highlight w:val="none"/>
        </w:rPr>
      </w:pPr>
      <w:r>
        <w:rPr>
          <w:rFonts w:ascii="宋体" w:hAnsi="宋体" w:eastAsia="宋体" w:cs="宋体"/>
          <w:b/>
          <w:bCs/>
          <w:color w:val="auto"/>
          <w:spacing w:val="-5"/>
          <w:sz w:val="24"/>
          <w:szCs w:val="24"/>
          <w:highlight w:val="none"/>
        </w:rPr>
        <w:t>（1）资格最低要求</w:t>
      </w:r>
    </w:p>
    <w:p w14:paraId="27F478A4">
      <w:pPr>
        <w:spacing w:line="146" w:lineRule="exact"/>
        <w:rPr>
          <w:color w:val="auto"/>
          <w:highlight w:val="none"/>
        </w:rPr>
      </w:pPr>
    </w:p>
    <w:tbl>
      <w:tblPr>
        <w:tblStyle w:val="6"/>
        <w:tblW w:w="9043"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43"/>
        <w:gridCol w:w="7000"/>
      </w:tblGrid>
      <w:tr w14:paraId="7FAC9D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2043" w:type="dxa"/>
            <w:vAlign w:val="top"/>
          </w:tcPr>
          <w:p w14:paraId="3F62B576">
            <w:pPr>
              <w:pStyle w:val="5"/>
              <w:spacing w:before="145" w:line="221" w:lineRule="auto"/>
              <w:ind w:left="808"/>
              <w:rPr>
                <w:color w:val="auto"/>
                <w:highlight w:val="none"/>
              </w:rPr>
            </w:pPr>
            <w:r>
              <w:rPr>
                <w:b/>
                <w:bCs/>
                <w:color w:val="auto"/>
                <w:spacing w:val="-7"/>
                <w:highlight w:val="none"/>
              </w:rPr>
              <w:t>标段</w:t>
            </w:r>
          </w:p>
        </w:tc>
        <w:tc>
          <w:tcPr>
            <w:tcW w:w="7000" w:type="dxa"/>
            <w:vAlign w:val="top"/>
          </w:tcPr>
          <w:p w14:paraId="0C2A5A2F">
            <w:pPr>
              <w:pStyle w:val="5"/>
              <w:spacing w:before="145" w:line="221" w:lineRule="auto"/>
              <w:ind w:left="2906"/>
              <w:rPr>
                <w:color w:val="auto"/>
                <w:highlight w:val="none"/>
              </w:rPr>
            </w:pPr>
            <w:r>
              <w:rPr>
                <w:b/>
                <w:bCs/>
                <w:color w:val="auto"/>
                <w:spacing w:val="-11"/>
                <w:highlight w:val="none"/>
              </w:rPr>
              <w:t>资</w:t>
            </w:r>
            <w:r>
              <w:rPr>
                <w:color w:val="auto"/>
                <w:spacing w:val="9"/>
                <w:highlight w:val="none"/>
              </w:rPr>
              <w:t xml:space="preserve"> </w:t>
            </w:r>
            <w:r>
              <w:rPr>
                <w:b/>
                <w:bCs/>
                <w:color w:val="auto"/>
                <w:spacing w:val="-11"/>
                <w:highlight w:val="none"/>
              </w:rPr>
              <w:t>质</w:t>
            </w:r>
            <w:r>
              <w:rPr>
                <w:color w:val="auto"/>
                <w:spacing w:val="10"/>
                <w:highlight w:val="none"/>
              </w:rPr>
              <w:t xml:space="preserve"> </w:t>
            </w:r>
            <w:r>
              <w:rPr>
                <w:b/>
                <w:bCs/>
                <w:color w:val="auto"/>
                <w:spacing w:val="-11"/>
                <w:highlight w:val="none"/>
              </w:rPr>
              <w:t>要</w:t>
            </w:r>
            <w:r>
              <w:rPr>
                <w:color w:val="auto"/>
                <w:spacing w:val="10"/>
                <w:highlight w:val="none"/>
              </w:rPr>
              <w:t xml:space="preserve"> </w:t>
            </w:r>
            <w:r>
              <w:rPr>
                <w:b/>
                <w:bCs/>
                <w:color w:val="auto"/>
                <w:spacing w:val="-11"/>
                <w:highlight w:val="none"/>
              </w:rPr>
              <w:t>求</w:t>
            </w:r>
          </w:p>
        </w:tc>
      </w:tr>
      <w:tr w14:paraId="794A9A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2043" w:type="dxa"/>
            <w:vAlign w:val="top"/>
          </w:tcPr>
          <w:p w14:paraId="0807837B">
            <w:pPr>
              <w:pStyle w:val="5"/>
              <w:spacing w:before="278" w:line="219" w:lineRule="auto"/>
              <w:ind w:left="418"/>
              <w:rPr>
                <w:color w:val="auto"/>
                <w:highlight w:val="none"/>
              </w:rPr>
            </w:pPr>
            <w:r>
              <w:rPr>
                <w:color w:val="auto"/>
                <w:spacing w:val="-1"/>
                <w:highlight w:val="none"/>
              </w:rPr>
              <w:t>BJZJ-01～03</w:t>
            </w:r>
          </w:p>
        </w:tc>
        <w:tc>
          <w:tcPr>
            <w:tcW w:w="7000" w:type="dxa"/>
            <w:vAlign w:val="top"/>
          </w:tcPr>
          <w:p w14:paraId="58589B41">
            <w:pPr>
              <w:pStyle w:val="5"/>
              <w:spacing w:before="278" w:line="220" w:lineRule="auto"/>
              <w:ind w:left="117"/>
              <w:rPr>
                <w:color w:val="auto"/>
                <w:highlight w:val="none"/>
              </w:rPr>
            </w:pPr>
            <w:r>
              <w:rPr>
                <w:color w:val="auto"/>
                <w:spacing w:val="-1"/>
                <w:highlight w:val="none"/>
              </w:rPr>
              <w:t>具备独立法人资格，持有有效的营业执照。</w:t>
            </w:r>
          </w:p>
        </w:tc>
      </w:tr>
    </w:tbl>
    <w:p w14:paraId="23D4D503">
      <w:pPr>
        <w:spacing w:before="48" w:line="219" w:lineRule="auto"/>
        <w:ind w:left="511"/>
        <w:rPr>
          <w:rFonts w:ascii="宋体" w:hAnsi="宋体" w:eastAsia="宋体" w:cs="宋体"/>
          <w:color w:val="auto"/>
          <w:sz w:val="24"/>
          <w:szCs w:val="24"/>
          <w:highlight w:val="none"/>
        </w:rPr>
      </w:pPr>
      <w:r>
        <w:rPr>
          <w:rFonts w:ascii="宋体" w:hAnsi="宋体" w:eastAsia="宋体" w:cs="宋体"/>
          <w:b/>
          <w:bCs/>
          <w:color w:val="auto"/>
          <w:spacing w:val="-5"/>
          <w:sz w:val="24"/>
          <w:szCs w:val="24"/>
          <w:highlight w:val="none"/>
        </w:rPr>
        <w:t>（2）业绩最低要求</w:t>
      </w:r>
    </w:p>
    <w:p w14:paraId="16DFA89D">
      <w:pPr>
        <w:spacing w:line="145" w:lineRule="exact"/>
        <w:rPr>
          <w:color w:val="auto"/>
          <w:highlight w:val="none"/>
        </w:rPr>
      </w:pPr>
    </w:p>
    <w:tbl>
      <w:tblPr>
        <w:tblStyle w:val="6"/>
        <w:tblW w:w="91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63"/>
        <w:gridCol w:w="7040"/>
      </w:tblGrid>
      <w:tr w14:paraId="6D329B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2063" w:type="dxa"/>
            <w:vAlign w:val="top"/>
          </w:tcPr>
          <w:p w14:paraId="4193FA50">
            <w:pPr>
              <w:pStyle w:val="5"/>
              <w:spacing w:before="154" w:line="221" w:lineRule="auto"/>
              <w:ind w:left="819"/>
              <w:rPr>
                <w:color w:val="auto"/>
                <w:highlight w:val="none"/>
              </w:rPr>
            </w:pPr>
            <w:r>
              <w:rPr>
                <w:b/>
                <w:bCs/>
                <w:color w:val="auto"/>
                <w:spacing w:val="-7"/>
                <w:highlight w:val="none"/>
              </w:rPr>
              <w:t>标段</w:t>
            </w:r>
          </w:p>
        </w:tc>
        <w:tc>
          <w:tcPr>
            <w:tcW w:w="7040" w:type="dxa"/>
            <w:vAlign w:val="top"/>
          </w:tcPr>
          <w:p w14:paraId="35FD34B6">
            <w:pPr>
              <w:pStyle w:val="5"/>
              <w:spacing w:before="154" w:line="221" w:lineRule="auto"/>
              <w:ind w:left="2916"/>
              <w:rPr>
                <w:color w:val="auto"/>
                <w:highlight w:val="none"/>
              </w:rPr>
            </w:pPr>
            <w:r>
              <w:rPr>
                <w:b/>
                <w:bCs/>
                <w:color w:val="auto"/>
                <w:spacing w:val="-9"/>
                <w:highlight w:val="none"/>
              </w:rPr>
              <w:t>业</w:t>
            </w:r>
            <w:r>
              <w:rPr>
                <w:color w:val="auto"/>
                <w:spacing w:val="12"/>
                <w:highlight w:val="none"/>
              </w:rPr>
              <w:t xml:space="preserve"> </w:t>
            </w:r>
            <w:r>
              <w:rPr>
                <w:b/>
                <w:bCs/>
                <w:color w:val="auto"/>
                <w:spacing w:val="-9"/>
                <w:highlight w:val="none"/>
              </w:rPr>
              <w:t>绩</w:t>
            </w:r>
            <w:r>
              <w:rPr>
                <w:color w:val="auto"/>
                <w:spacing w:val="9"/>
                <w:highlight w:val="none"/>
              </w:rPr>
              <w:t xml:space="preserve"> </w:t>
            </w:r>
            <w:r>
              <w:rPr>
                <w:b/>
                <w:bCs/>
                <w:color w:val="auto"/>
                <w:spacing w:val="-9"/>
                <w:highlight w:val="none"/>
              </w:rPr>
              <w:t>要</w:t>
            </w:r>
            <w:r>
              <w:rPr>
                <w:color w:val="auto"/>
                <w:spacing w:val="10"/>
                <w:highlight w:val="none"/>
              </w:rPr>
              <w:t xml:space="preserve"> </w:t>
            </w:r>
            <w:r>
              <w:rPr>
                <w:b/>
                <w:bCs/>
                <w:color w:val="auto"/>
                <w:spacing w:val="-9"/>
                <w:highlight w:val="none"/>
              </w:rPr>
              <w:t>求</w:t>
            </w:r>
          </w:p>
        </w:tc>
      </w:tr>
      <w:tr w14:paraId="58B04C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2" w:hRule="atLeast"/>
        </w:trPr>
        <w:tc>
          <w:tcPr>
            <w:tcW w:w="2063" w:type="dxa"/>
            <w:vAlign w:val="top"/>
          </w:tcPr>
          <w:p w14:paraId="25A95943">
            <w:pPr>
              <w:spacing w:line="335" w:lineRule="auto"/>
              <w:rPr>
                <w:rFonts w:ascii="Arial"/>
                <w:color w:val="auto"/>
                <w:sz w:val="21"/>
                <w:highlight w:val="none"/>
              </w:rPr>
            </w:pPr>
          </w:p>
          <w:p w14:paraId="31495613">
            <w:pPr>
              <w:pStyle w:val="5"/>
              <w:spacing w:before="72" w:line="219" w:lineRule="auto"/>
              <w:ind w:left="647"/>
              <w:rPr>
                <w:color w:val="auto"/>
                <w:highlight w:val="none"/>
              </w:rPr>
            </w:pPr>
            <w:r>
              <w:rPr>
                <w:color w:val="auto"/>
                <w:spacing w:val="-1"/>
                <w:highlight w:val="none"/>
              </w:rPr>
              <w:t>BJZJ-01</w:t>
            </w:r>
          </w:p>
        </w:tc>
        <w:tc>
          <w:tcPr>
            <w:tcW w:w="7040" w:type="dxa"/>
            <w:vAlign w:val="center"/>
          </w:tcPr>
          <w:p w14:paraId="5F41B7A6">
            <w:pPr>
              <w:pStyle w:val="5"/>
              <w:spacing w:before="65" w:line="287" w:lineRule="auto"/>
              <w:ind w:left="115" w:right="164"/>
              <w:jc w:val="both"/>
              <w:rPr>
                <w:color w:val="auto"/>
                <w:highlight w:val="none"/>
              </w:rPr>
            </w:pPr>
            <w:r>
              <w:rPr>
                <w:color w:val="auto"/>
                <w:highlight w:val="none"/>
              </w:rPr>
              <w:t>2021年（含）以来，至少具有</w:t>
            </w:r>
            <w:r>
              <w:rPr>
                <w:color w:val="auto"/>
                <w:spacing w:val="-24"/>
                <w:highlight w:val="none"/>
              </w:rPr>
              <w:t xml:space="preserve"> </w:t>
            </w:r>
            <w:r>
              <w:rPr>
                <w:color w:val="auto"/>
                <w:highlight w:val="none"/>
              </w:rPr>
              <w:t>1</w:t>
            </w:r>
            <w:r>
              <w:rPr>
                <w:color w:val="auto"/>
                <w:spacing w:val="-43"/>
                <w:highlight w:val="none"/>
              </w:rPr>
              <w:t xml:space="preserve"> </w:t>
            </w:r>
            <w:r>
              <w:rPr>
                <w:color w:val="auto"/>
                <w:highlight w:val="none"/>
              </w:rPr>
              <w:t>项新建或改扩建高速公路(应至少包括路基桥隧、路面等主体工程)项目的造价咨询</w:t>
            </w:r>
            <w:r>
              <w:rPr>
                <w:color w:val="auto"/>
                <w:spacing w:val="-1"/>
                <w:highlight w:val="none"/>
              </w:rPr>
              <w:t>或工程决算编制工作服务</w:t>
            </w:r>
            <w:r>
              <w:rPr>
                <w:color w:val="auto"/>
                <w:spacing w:val="-2"/>
                <w:highlight w:val="none"/>
              </w:rPr>
              <w:t>项目业绩。</w:t>
            </w:r>
          </w:p>
        </w:tc>
      </w:tr>
      <w:tr w14:paraId="14442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8" w:hRule="atLeast"/>
        </w:trPr>
        <w:tc>
          <w:tcPr>
            <w:tcW w:w="2063" w:type="dxa"/>
            <w:vAlign w:val="top"/>
          </w:tcPr>
          <w:p w14:paraId="47FEDC7E">
            <w:pPr>
              <w:spacing w:line="348" w:lineRule="auto"/>
              <w:rPr>
                <w:rFonts w:ascii="Arial"/>
                <w:color w:val="auto"/>
                <w:sz w:val="21"/>
                <w:highlight w:val="none"/>
              </w:rPr>
            </w:pPr>
          </w:p>
          <w:p w14:paraId="3F14EF10">
            <w:pPr>
              <w:spacing w:line="349" w:lineRule="auto"/>
              <w:rPr>
                <w:rFonts w:ascii="Arial"/>
                <w:color w:val="auto"/>
                <w:sz w:val="21"/>
                <w:highlight w:val="none"/>
              </w:rPr>
            </w:pPr>
          </w:p>
          <w:p w14:paraId="2A8E40AF">
            <w:pPr>
              <w:pStyle w:val="5"/>
              <w:spacing w:before="72" w:line="219" w:lineRule="auto"/>
              <w:ind w:left="647"/>
              <w:rPr>
                <w:color w:val="auto"/>
                <w:highlight w:val="none"/>
              </w:rPr>
            </w:pPr>
            <w:r>
              <w:rPr>
                <w:color w:val="auto"/>
                <w:spacing w:val="-1"/>
                <w:highlight w:val="none"/>
              </w:rPr>
              <w:t>BJZJ-02</w:t>
            </w:r>
          </w:p>
        </w:tc>
        <w:tc>
          <w:tcPr>
            <w:tcW w:w="7040" w:type="dxa"/>
            <w:vAlign w:val="center"/>
          </w:tcPr>
          <w:p w14:paraId="34F729E6">
            <w:pPr>
              <w:pStyle w:val="5"/>
              <w:spacing w:before="65" w:line="285" w:lineRule="auto"/>
              <w:ind w:left="115" w:right="307"/>
              <w:jc w:val="both"/>
              <w:rPr>
                <w:color w:val="auto"/>
                <w:spacing w:val="-1"/>
                <w:highlight w:val="none"/>
              </w:rPr>
            </w:pPr>
            <w:r>
              <w:rPr>
                <w:color w:val="auto"/>
                <w:spacing w:val="-1"/>
                <w:highlight w:val="none"/>
                <w:shd w:val="clear" w:fill="auto"/>
              </w:rPr>
              <w:t>2021 年（含）以来，</w:t>
            </w:r>
          </w:p>
          <w:p w14:paraId="242801FE">
            <w:pPr>
              <w:pStyle w:val="5"/>
              <w:spacing w:before="65" w:line="285" w:lineRule="auto"/>
              <w:ind w:left="115" w:right="307" w:firstLine="0"/>
              <w:jc w:val="both"/>
              <w:rPr>
                <w:color w:val="auto"/>
                <w:spacing w:val="-1"/>
                <w:highlight w:val="none"/>
              </w:rPr>
            </w:pPr>
            <w:r>
              <w:rPr>
                <w:color w:val="auto"/>
                <w:spacing w:val="-1"/>
                <w:highlight w:val="none"/>
                <w:shd w:val="clear" w:fill="auto"/>
              </w:rPr>
              <w:t>1.至少具有 1 项新建或改扩建高速公路(应至少包括路基桥隧、路面等主体工程)项目的造价咨询或工程决算编制工作服务项目业绩；</w:t>
            </w:r>
          </w:p>
          <w:p w14:paraId="5E48C94E">
            <w:pPr>
              <w:pStyle w:val="5"/>
              <w:spacing w:before="65" w:line="285" w:lineRule="auto"/>
              <w:ind w:left="115" w:right="307" w:firstLine="0"/>
              <w:jc w:val="both"/>
              <w:rPr>
                <w:color w:val="auto"/>
                <w:highlight w:val="none"/>
              </w:rPr>
            </w:pPr>
            <w:r>
              <w:rPr>
                <w:color w:val="auto"/>
                <w:spacing w:val="-1"/>
                <w:highlight w:val="none"/>
                <w:shd w:val="clear" w:fill="auto"/>
              </w:rPr>
              <w:t>2.至少具有 1 项房建工程的造价咨询服务项目业绩。</w:t>
            </w:r>
          </w:p>
        </w:tc>
      </w:tr>
      <w:tr w14:paraId="703CD8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5" w:hRule="atLeast"/>
        </w:trPr>
        <w:tc>
          <w:tcPr>
            <w:tcW w:w="2063" w:type="dxa"/>
            <w:vAlign w:val="top"/>
          </w:tcPr>
          <w:p w14:paraId="13AEBCBB">
            <w:pPr>
              <w:pStyle w:val="5"/>
              <w:spacing w:before="236" w:line="219" w:lineRule="auto"/>
              <w:ind w:left="647"/>
              <w:rPr>
                <w:color w:val="auto"/>
                <w:highlight w:val="none"/>
              </w:rPr>
            </w:pPr>
            <w:r>
              <w:rPr>
                <w:color w:val="auto"/>
                <w:spacing w:val="-1"/>
                <w:highlight w:val="none"/>
              </w:rPr>
              <w:t>BJZJ-03</w:t>
            </w:r>
          </w:p>
        </w:tc>
        <w:tc>
          <w:tcPr>
            <w:tcW w:w="7040" w:type="dxa"/>
            <w:vAlign w:val="center"/>
          </w:tcPr>
          <w:p w14:paraId="777A691A">
            <w:pPr>
              <w:pStyle w:val="5"/>
              <w:spacing w:before="65" w:line="285" w:lineRule="auto"/>
              <w:ind w:left="115" w:right="307"/>
              <w:jc w:val="both"/>
              <w:rPr>
                <w:color w:val="auto"/>
                <w:highlight w:val="none"/>
              </w:rPr>
            </w:pPr>
            <w:r>
              <w:rPr>
                <w:color w:val="auto"/>
                <w:spacing w:val="-1"/>
                <w:highlight w:val="none"/>
              </w:rPr>
              <w:t>2021年（含）以来，至少具有</w:t>
            </w:r>
            <w:r>
              <w:rPr>
                <w:color w:val="auto"/>
                <w:spacing w:val="-25"/>
                <w:highlight w:val="none"/>
              </w:rPr>
              <w:t xml:space="preserve"> </w:t>
            </w:r>
            <w:r>
              <w:rPr>
                <w:color w:val="auto"/>
                <w:spacing w:val="-1"/>
                <w:highlight w:val="none"/>
              </w:rPr>
              <w:t>1</w:t>
            </w:r>
            <w:r>
              <w:rPr>
                <w:color w:val="auto"/>
                <w:spacing w:val="-43"/>
                <w:highlight w:val="none"/>
              </w:rPr>
              <w:t xml:space="preserve"> </w:t>
            </w:r>
            <w:r>
              <w:rPr>
                <w:color w:val="auto"/>
                <w:spacing w:val="-1"/>
                <w:highlight w:val="none"/>
              </w:rPr>
              <w:t>项新建或改扩建高速公路路基桥隧、</w:t>
            </w:r>
            <w:r>
              <w:rPr>
                <w:color w:val="auto"/>
                <w:highlight w:val="none"/>
              </w:rPr>
              <w:t>路面等主体工程的工程决算编制或竣工决算审</w:t>
            </w:r>
            <w:r>
              <w:rPr>
                <w:color w:val="auto"/>
                <w:spacing w:val="-1"/>
                <w:highlight w:val="none"/>
              </w:rPr>
              <w:t>计工作服务项目业绩。</w:t>
            </w:r>
          </w:p>
        </w:tc>
      </w:tr>
    </w:tbl>
    <w:p w14:paraId="11BE925B">
      <w:pPr>
        <w:spacing w:before="29" w:line="361" w:lineRule="auto"/>
        <w:ind w:left="18" w:right="9" w:firstLine="442"/>
        <w:jc w:val="both"/>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注：业绩时间以合同签订日期为准，业绩证明材料包括合同协议书、履约证明材料。业绩证明材料须体现相关公路等级、服务内容等，如合同无法反映业绩要求内容，还须提供能体现</w:t>
      </w:r>
      <w:r>
        <w:rPr>
          <w:rFonts w:ascii="宋体" w:hAnsi="宋体" w:eastAsia="宋体" w:cs="宋体"/>
          <w:color w:val="auto"/>
          <w:spacing w:val="-1"/>
          <w:sz w:val="22"/>
          <w:szCs w:val="22"/>
          <w:highlight w:val="none"/>
        </w:rPr>
        <w:t>业绩要求内容的业主证明材料或其它有效材料。</w:t>
      </w:r>
    </w:p>
    <w:p w14:paraId="1D9EBE8D">
      <w:pPr>
        <w:spacing w:line="218" w:lineRule="auto"/>
        <w:ind w:left="511"/>
        <w:rPr>
          <w:rFonts w:ascii="宋体" w:hAnsi="宋体" w:eastAsia="宋体" w:cs="宋体"/>
          <w:color w:val="auto"/>
          <w:sz w:val="24"/>
          <w:szCs w:val="24"/>
          <w:highlight w:val="none"/>
        </w:rPr>
      </w:pPr>
      <w:r>
        <w:rPr>
          <w:rFonts w:ascii="宋体" w:hAnsi="宋体" w:eastAsia="宋体" w:cs="宋体"/>
          <w:b/>
          <w:bCs/>
          <w:color w:val="auto"/>
          <w:spacing w:val="-5"/>
          <w:sz w:val="24"/>
          <w:szCs w:val="24"/>
          <w:highlight w:val="none"/>
        </w:rPr>
        <w:t>（3）信誉最低要求</w:t>
      </w:r>
    </w:p>
    <w:p w14:paraId="575B6DF5">
      <w:pPr>
        <w:spacing w:line="147" w:lineRule="exact"/>
        <w:rPr>
          <w:color w:val="auto"/>
          <w:highlight w:val="none"/>
        </w:rPr>
      </w:pPr>
    </w:p>
    <w:tbl>
      <w:tblPr>
        <w:tblStyle w:val="6"/>
        <w:tblW w:w="9083"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60"/>
        <w:gridCol w:w="7023"/>
      </w:tblGrid>
      <w:tr w14:paraId="124949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2060" w:type="dxa"/>
            <w:vAlign w:val="top"/>
          </w:tcPr>
          <w:p w14:paraId="5AC6FA12">
            <w:pPr>
              <w:pStyle w:val="5"/>
              <w:spacing w:before="153" w:line="221" w:lineRule="auto"/>
              <w:ind w:left="816"/>
              <w:rPr>
                <w:color w:val="auto"/>
                <w:highlight w:val="none"/>
              </w:rPr>
            </w:pPr>
            <w:r>
              <w:rPr>
                <w:b/>
                <w:bCs/>
                <w:color w:val="auto"/>
                <w:spacing w:val="-7"/>
                <w:highlight w:val="none"/>
              </w:rPr>
              <w:t>标段</w:t>
            </w:r>
          </w:p>
        </w:tc>
        <w:tc>
          <w:tcPr>
            <w:tcW w:w="7023" w:type="dxa"/>
            <w:vAlign w:val="top"/>
          </w:tcPr>
          <w:p w14:paraId="7BCE1420">
            <w:pPr>
              <w:pStyle w:val="5"/>
              <w:spacing w:before="154" w:line="219" w:lineRule="auto"/>
              <w:ind w:left="2852"/>
              <w:rPr>
                <w:color w:val="auto"/>
                <w:highlight w:val="none"/>
              </w:rPr>
            </w:pPr>
            <w:r>
              <w:rPr>
                <w:b/>
                <w:bCs/>
                <w:color w:val="auto"/>
                <w:spacing w:val="-9"/>
                <w:highlight w:val="none"/>
              </w:rPr>
              <w:t>信</w:t>
            </w:r>
            <w:r>
              <w:rPr>
                <w:color w:val="auto"/>
                <w:spacing w:val="5"/>
                <w:highlight w:val="none"/>
              </w:rPr>
              <w:t xml:space="preserve">  </w:t>
            </w:r>
            <w:r>
              <w:rPr>
                <w:b/>
                <w:bCs/>
                <w:color w:val="auto"/>
                <w:spacing w:val="-9"/>
                <w:highlight w:val="none"/>
              </w:rPr>
              <w:t>誉</w:t>
            </w:r>
            <w:r>
              <w:rPr>
                <w:color w:val="auto"/>
                <w:spacing w:val="10"/>
                <w:highlight w:val="none"/>
              </w:rPr>
              <w:t xml:space="preserve"> </w:t>
            </w:r>
            <w:r>
              <w:rPr>
                <w:b/>
                <w:bCs/>
                <w:color w:val="auto"/>
                <w:spacing w:val="-9"/>
                <w:highlight w:val="none"/>
              </w:rPr>
              <w:t>要</w:t>
            </w:r>
            <w:r>
              <w:rPr>
                <w:color w:val="auto"/>
                <w:spacing w:val="11"/>
                <w:highlight w:val="none"/>
              </w:rPr>
              <w:t xml:space="preserve"> </w:t>
            </w:r>
            <w:r>
              <w:rPr>
                <w:b/>
                <w:bCs/>
                <w:color w:val="auto"/>
                <w:spacing w:val="-9"/>
                <w:highlight w:val="none"/>
              </w:rPr>
              <w:t>求</w:t>
            </w:r>
          </w:p>
        </w:tc>
      </w:tr>
      <w:tr w14:paraId="0A499D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2060" w:type="dxa"/>
            <w:vAlign w:val="top"/>
          </w:tcPr>
          <w:p w14:paraId="129ADB96">
            <w:pPr>
              <w:spacing w:line="258" w:lineRule="auto"/>
              <w:rPr>
                <w:rFonts w:ascii="Arial"/>
                <w:color w:val="auto"/>
                <w:sz w:val="21"/>
                <w:highlight w:val="none"/>
              </w:rPr>
            </w:pPr>
          </w:p>
          <w:p w14:paraId="71509F6D">
            <w:pPr>
              <w:spacing w:line="258" w:lineRule="auto"/>
              <w:rPr>
                <w:rFonts w:ascii="Arial"/>
                <w:color w:val="auto"/>
                <w:sz w:val="21"/>
                <w:highlight w:val="none"/>
              </w:rPr>
            </w:pPr>
          </w:p>
          <w:p w14:paraId="6DBB5191">
            <w:pPr>
              <w:spacing w:line="258" w:lineRule="auto"/>
              <w:rPr>
                <w:rFonts w:ascii="Arial"/>
                <w:color w:val="auto"/>
                <w:sz w:val="21"/>
                <w:highlight w:val="none"/>
              </w:rPr>
            </w:pPr>
          </w:p>
          <w:p w14:paraId="062C1564">
            <w:pPr>
              <w:spacing w:line="258" w:lineRule="auto"/>
              <w:rPr>
                <w:rFonts w:ascii="Arial"/>
                <w:color w:val="auto"/>
                <w:sz w:val="21"/>
                <w:highlight w:val="none"/>
              </w:rPr>
            </w:pPr>
          </w:p>
          <w:p w14:paraId="78A67692">
            <w:pPr>
              <w:spacing w:line="258" w:lineRule="auto"/>
              <w:rPr>
                <w:rFonts w:ascii="Arial"/>
                <w:color w:val="auto"/>
                <w:sz w:val="21"/>
                <w:highlight w:val="none"/>
              </w:rPr>
            </w:pPr>
          </w:p>
          <w:p w14:paraId="242A81EA">
            <w:pPr>
              <w:spacing w:line="259" w:lineRule="auto"/>
              <w:rPr>
                <w:rFonts w:ascii="Arial"/>
                <w:color w:val="auto"/>
                <w:sz w:val="21"/>
                <w:highlight w:val="none"/>
              </w:rPr>
            </w:pPr>
          </w:p>
          <w:p w14:paraId="505B075E">
            <w:pPr>
              <w:spacing w:line="259" w:lineRule="auto"/>
              <w:rPr>
                <w:rFonts w:ascii="Arial"/>
                <w:color w:val="auto"/>
                <w:sz w:val="21"/>
                <w:highlight w:val="none"/>
              </w:rPr>
            </w:pPr>
          </w:p>
          <w:p w14:paraId="70951E63">
            <w:pPr>
              <w:spacing w:line="259" w:lineRule="auto"/>
              <w:rPr>
                <w:rFonts w:ascii="Arial"/>
                <w:color w:val="auto"/>
                <w:sz w:val="21"/>
                <w:highlight w:val="none"/>
              </w:rPr>
            </w:pPr>
          </w:p>
          <w:p w14:paraId="42FDEB1F">
            <w:pPr>
              <w:spacing w:line="259" w:lineRule="auto"/>
              <w:rPr>
                <w:rFonts w:ascii="Arial"/>
                <w:color w:val="auto"/>
                <w:sz w:val="21"/>
                <w:highlight w:val="none"/>
              </w:rPr>
            </w:pPr>
          </w:p>
          <w:p w14:paraId="0770C037">
            <w:pPr>
              <w:pStyle w:val="5"/>
              <w:spacing w:before="71" w:line="219" w:lineRule="auto"/>
              <w:ind w:left="426"/>
              <w:rPr>
                <w:color w:val="auto"/>
                <w:highlight w:val="none"/>
              </w:rPr>
            </w:pPr>
            <w:r>
              <w:rPr>
                <w:color w:val="auto"/>
                <w:spacing w:val="-1"/>
                <w:highlight w:val="none"/>
              </w:rPr>
              <w:t>BJZJ-01～03</w:t>
            </w:r>
          </w:p>
        </w:tc>
        <w:tc>
          <w:tcPr>
            <w:tcW w:w="7023" w:type="dxa"/>
            <w:vAlign w:val="top"/>
          </w:tcPr>
          <w:p w14:paraId="0AE1CF2F">
            <w:pPr>
              <w:pStyle w:val="5"/>
              <w:kinsoku/>
              <w:autoSpaceDE/>
              <w:autoSpaceDN/>
              <w:spacing w:before="3" w:line="288" w:lineRule="auto"/>
              <w:ind w:left="113" w:right="312" w:firstLine="40"/>
              <w:rPr>
                <w:color w:val="auto"/>
                <w:highlight w:val="none"/>
              </w:rPr>
            </w:pPr>
            <w:r>
              <w:rPr>
                <w:color w:val="auto"/>
                <w:spacing w:val="-2"/>
                <w:highlight w:val="none"/>
              </w:rPr>
              <w:t>1、投标人未处于被责令停业状态；</w:t>
            </w:r>
          </w:p>
          <w:p w14:paraId="25A90110">
            <w:pPr>
              <w:pStyle w:val="5"/>
              <w:kinsoku/>
              <w:autoSpaceDE/>
              <w:autoSpaceDN/>
              <w:spacing w:before="3" w:line="288" w:lineRule="auto"/>
              <w:ind w:left="113" w:right="312" w:firstLine="40"/>
              <w:rPr>
                <w:color w:val="auto"/>
                <w:highlight w:val="none"/>
              </w:rPr>
            </w:pPr>
            <w:r>
              <w:rPr>
                <w:color w:val="auto"/>
                <w:spacing w:val="-1"/>
                <w:highlight w:val="none"/>
              </w:rPr>
              <w:t>2、投标人未处于财产被接管、破产状态；</w:t>
            </w:r>
          </w:p>
          <w:p w14:paraId="22F8FD1F">
            <w:pPr>
              <w:pStyle w:val="5"/>
              <w:kinsoku/>
              <w:autoSpaceDE/>
              <w:autoSpaceDN/>
              <w:spacing w:before="3" w:line="288" w:lineRule="auto"/>
              <w:ind w:left="113" w:right="312" w:firstLine="40"/>
              <w:rPr>
                <w:color w:val="auto"/>
                <w:highlight w:val="none"/>
              </w:rPr>
            </w:pPr>
            <w:r>
              <w:rPr>
                <w:color w:val="auto"/>
                <w:spacing w:val="-1"/>
                <w:highlight w:val="none"/>
              </w:rPr>
              <w:t>3、投标人未被省级及以上行业主管部门或其他有权作出处罚的行业主管部门明令禁止参与投标并且目前正处于处罚期内；</w:t>
            </w:r>
          </w:p>
          <w:p w14:paraId="611A4495">
            <w:pPr>
              <w:pStyle w:val="5"/>
              <w:kinsoku/>
              <w:autoSpaceDE/>
              <w:autoSpaceDN/>
              <w:spacing w:before="3" w:line="288" w:lineRule="auto"/>
              <w:ind w:left="113" w:right="312" w:firstLine="40"/>
              <w:rPr>
                <w:color w:val="auto"/>
                <w:highlight w:val="none"/>
              </w:rPr>
            </w:pPr>
            <w:r>
              <w:rPr>
                <w:color w:val="auto"/>
                <w:spacing w:val="1"/>
                <w:highlight w:val="none"/>
              </w:rPr>
              <w:t>4、投标人不得存在下列不良状况或不良信用记录:</w:t>
            </w:r>
          </w:p>
          <w:p w14:paraId="66ED6BDC">
            <w:pPr>
              <w:pStyle w:val="5"/>
              <w:kinsoku/>
              <w:autoSpaceDE/>
              <w:autoSpaceDN/>
              <w:spacing w:before="3" w:line="288" w:lineRule="auto"/>
              <w:ind w:left="113" w:right="312" w:firstLine="40"/>
              <w:rPr>
                <w:color w:val="auto"/>
                <w:highlight w:val="none"/>
              </w:rPr>
            </w:pPr>
            <w:r>
              <w:rPr>
                <w:color w:val="auto"/>
                <w:spacing w:val="-1"/>
                <w:highlight w:val="none"/>
              </w:rPr>
              <w:t>(1)在国家企业信用信息公示系统(</w:t>
            </w:r>
            <w:r>
              <w:rPr>
                <w:color w:val="auto"/>
                <w:highlight w:val="none"/>
              </w:rPr>
              <w:fldChar w:fldCharType="begin"/>
            </w:r>
            <w:r>
              <w:rPr>
                <w:color w:val="auto"/>
                <w:highlight w:val="none"/>
              </w:rPr>
              <w:instrText xml:space="preserve"> HYPERLINK "http://www.gsxt.gov.cn/" </w:instrText>
            </w:r>
            <w:r>
              <w:rPr>
                <w:color w:val="auto"/>
                <w:highlight w:val="none"/>
              </w:rPr>
              <w:fldChar w:fldCharType="separate"/>
            </w:r>
            <w:r>
              <w:rPr>
                <w:color w:val="auto"/>
                <w:spacing w:val="-1"/>
                <w:highlight w:val="none"/>
              </w:rPr>
              <w:t xml:space="preserve">http:// www.gsxt.gov.cn </w:t>
            </w:r>
            <w:r>
              <w:rPr>
                <w:color w:val="auto"/>
                <w:spacing w:val="-2"/>
                <w:highlight w:val="none"/>
              </w:rPr>
              <w:t>/</w:t>
            </w:r>
            <w:r>
              <w:rPr>
                <w:color w:val="auto"/>
                <w:spacing w:val="-2"/>
                <w:highlight w:val="none"/>
              </w:rPr>
              <w:fldChar w:fldCharType="end"/>
            </w:r>
            <w:r>
              <w:rPr>
                <w:color w:val="auto"/>
                <w:spacing w:val="-2"/>
                <w:highlight w:val="none"/>
              </w:rPr>
              <w:t>)中被</w:t>
            </w:r>
            <w:r>
              <w:rPr>
                <w:color w:val="auto"/>
                <w:spacing w:val="-1"/>
                <w:highlight w:val="none"/>
              </w:rPr>
              <w:t>列入严重违法失信企业名单的；</w:t>
            </w:r>
          </w:p>
          <w:p w14:paraId="1E2B99D7">
            <w:pPr>
              <w:pStyle w:val="5"/>
              <w:kinsoku/>
              <w:autoSpaceDE/>
              <w:autoSpaceDN/>
              <w:spacing w:before="3" w:line="288" w:lineRule="auto"/>
              <w:ind w:left="113" w:right="312" w:firstLine="40"/>
              <w:rPr>
                <w:color w:val="auto"/>
                <w:highlight w:val="none"/>
              </w:rPr>
            </w:pPr>
            <w:r>
              <w:rPr>
                <w:color w:val="auto"/>
                <w:spacing w:val="-1"/>
                <w:highlight w:val="none"/>
              </w:rPr>
              <w:t>(2)在“中国执行信息公开网”(</w:t>
            </w:r>
            <w:r>
              <w:rPr>
                <w:color w:val="auto"/>
                <w:highlight w:val="none"/>
              </w:rPr>
              <w:fldChar w:fldCharType="begin"/>
            </w:r>
            <w:r>
              <w:rPr>
                <w:color w:val="auto"/>
                <w:highlight w:val="none"/>
              </w:rPr>
              <w:instrText xml:space="preserve"> HYPERLINK "http://zxgk.court.gov.cn/" </w:instrText>
            </w:r>
            <w:r>
              <w:rPr>
                <w:color w:val="auto"/>
                <w:highlight w:val="none"/>
              </w:rPr>
              <w:fldChar w:fldCharType="separate"/>
            </w:r>
            <w:r>
              <w:rPr>
                <w:color w:val="auto"/>
                <w:spacing w:val="-1"/>
                <w:highlight w:val="none"/>
              </w:rPr>
              <w:t>http://zxgk.court.gov.cn/</w:t>
            </w:r>
            <w:r>
              <w:rPr>
                <w:color w:val="auto"/>
                <w:spacing w:val="-1"/>
                <w:highlight w:val="none"/>
              </w:rPr>
              <w:fldChar w:fldCharType="end"/>
            </w:r>
            <w:r>
              <w:rPr>
                <w:color w:val="auto"/>
                <w:spacing w:val="-2"/>
                <w:highlight w:val="none"/>
              </w:rPr>
              <w:t>)中被列</w:t>
            </w:r>
            <w:r>
              <w:rPr>
                <w:color w:val="auto"/>
                <w:spacing w:val="-1"/>
                <w:highlight w:val="none"/>
              </w:rPr>
              <w:t>入失信被执行人名单；</w:t>
            </w:r>
          </w:p>
          <w:p w14:paraId="6B9B35EA">
            <w:r>
              <w:rPr>
                <w:color w:val="auto"/>
                <w:spacing w:val="-2"/>
                <w:highlight w:val="none"/>
              </w:rPr>
              <w:t>(3)投标人、其法定代表人、拟委任的主要人员在近三年（自</w:t>
            </w:r>
            <w:r>
              <w:rPr>
                <w:color w:val="auto"/>
                <w:spacing w:val="-43"/>
                <w:highlight w:val="none"/>
              </w:rPr>
              <w:t xml:space="preserve"> </w:t>
            </w:r>
            <w:r>
              <w:rPr>
                <w:color w:val="auto"/>
                <w:spacing w:val="-2"/>
                <w:highlight w:val="none"/>
              </w:rPr>
              <w:t>2</w:t>
            </w:r>
            <w:r>
              <w:rPr>
                <w:color w:val="auto"/>
                <w:spacing w:val="-3"/>
                <w:highlight w:val="none"/>
              </w:rPr>
              <w:t>023</w:t>
            </w:r>
            <w:r>
              <w:rPr>
                <w:color w:val="auto"/>
                <w:spacing w:val="-46"/>
                <w:highlight w:val="none"/>
              </w:rPr>
              <w:t xml:space="preserve"> </w:t>
            </w:r>
            <w:r>
              <w:rPr>
                <w:color w:val="auto"/>
                <w:spacing w:val="-3"/>
                <w:highlight w:val="none"/>
              </w:rPr>
              <w:t>年起）内有行贿犯罪行为的（以“</w:t>
            </w:r>
            <w:r>
              <w:rPr>
                <w:color w:val="auto"/>
                <w:spacing w:val="-66"/>
                <w:highlight w:val="none"/>
              </w:rPr>
              <w:t xml:space="preserve"> </w:t>
            </w:r>
            <w:r>
              <w:rPr>
                <w:color w:val="auto"/>
                <w:spacing w:val="-3"/>
                <w:highlight w:val="none"/>
              </w:rPr>
              <w:t>中国裁判文书网</w:t>
            </w:r>
            <w:r>
              <w:rPr>
                <w:color w:val="auto"/>
                <w:spacing w:val="-81"/>
                <w:highlight w:val="none"/>
              </w:rPr>
              <w:t xml:space="preserve"> </w:t>
            </w:r>
            <w:r>
              <w:rPr>
                <w:color w:val="auto"/>
                <w:spacing w:val="-3"/>
                <w:highlight w:val="none"/>
              </w:rPr>
              <w:t>”中查询结果为</w:t>
            </w:r>
          </w:p>
          <w:p w14:paraId="2C90E279">
            <w:pPr>
              <w:rPr>
                <w:color w:val="auto"/>
                <w:highlight w:val="none"/>
              </w:rPr>
            </w:pPr>
            <w:r>
              <w:rPr>
                <w:color w:val="auto"/>
                <w:spacing w:val="-10"/>
                <w:highlight w:val="none"/>
              </w:rPr>
              <w:t>准</w:t>
            </w:r>
            <w:r>
              <w:rPr>
                <w:color w:val="auto"/>
                <w:highlight w:val="none"/>
              </w:rPr>
              <w:t>）</w:t>
            </w:r>
            <w:r>
              <w:rPr>
                <w:rFonts w:hint="eastAsia"/>
                <w:color w:val="auto"/>
                <w:highlight w:val="none"/>
                <w:lang w:eastAsia="zh-CN"/>
              </w:rPr>
              <w:t>。</w:t>
            </w:r>
          </w:p>
        </w:tc>
      </w:tr>
    </w:tbl>
    <w:p w14:paraId="49AF6F62">
      <w:pPr>
        <w:spacing w:before="78" w:line="219" w:lineRule="auto"/>
        <w:ind w:left="511"/>
        <w:rPr>
          <w:rFonts w:ascii="宋体" w:hAnsi="宋体" w:eastAsia="宋体" w:cs="宋体"/>
          <w:color w:val="auto"/>
          <w:sz w:val="24"/>
          <w:szCs w:val="24"/>
          <w:highlight w:val="none"/>
        </w:rPr>
      </w:pPr>
      <w:r>
        <w:rPr>
          <w:rFonts w:ascii="宋体" w:hAnsi="宋体" w:eastAsia="宋体" w:cs="宋体"/>
          <w:b/>
          <w:bCs/>
          <w:color w:val="auto"/>
          <w:spacing w:val="-4"/>
          <w:sz w:val="24"/>
          <w:szCs w:val="24"/>
          <w:highlight w:val="none"/>
        </w:rPr>
        <w:t>（4）主要人员最低要求</w:t>
      </w:r>
    </w:p>
    <w:p w14:paraId="7BAA837E">
      <w:pPr>
        <w:spacing w:line="146" w:lineRule="exact"/>
        <w:rPr>
          <w:color w:val="auto"/>
          <w:highlight w:val="none"/>
        </w:rPr>
      </w:pPr>
    </w:p>
    <w:tbl>
      <w:tblPr>
        <w:tblStyle w:val="6"/>
        <w:tblW w:w="906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55"/>
        <w:gridCol w:w="1352"/>
        <w:gridCol w:w="765"/>
        <w:gridCol w:w="5874"/>
        <w:gridCol w:w="19"/>
      </w:tblGrid>
      <w:tr w14:paraId="0E12B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055" w:type="dxa"/>
            <w:vAlign w:val="top"/>
          </w:tcPr>
          <w:p w14:paraId="08B5637F">
            <w:pPr>
              <w:pStyle w:val="5"/>
              <w:spacing w:before="105" w:line="221" w:lineRule="auto"/>
              <w:ind w:left="312"/>
              <w:rPr>
                <w:color w:val="auto"/>
                <w:highlight w:val="none"/>
              </w:rPr>
            </w:pPr>
            <w:r>
              <w:rPr>
                <w:b/>
                <w:bCs/>
                <w:color w:val="auto"/>
                <w:spacing w:val="-7"/>
                <w:highlight w:val="none"/>
              </w:rPr>
              <w:t>标段</w:t>
            </w:r>
          </w:p>
        </w:tc>
        <w:tc>
          <w:tcPr>
            <w:tcW w:w="1352" w:type="dxa"/>
            <w:vAlign w:val="top"/>
          </w:tcPr>
          <w:p w14:paraId="38903207">
            <w:pPr>
              <w:pStyle w:val="5"/>
              <w:spacing w:before="105" w:line="221" w:lineRule="auto"/>
              <w:ind w:left="483"/>
              <w:rPr>
                <w:color w:val="auto"/>
                <w:highlight w:val="none"/>
              </w:rPr>
            </w:pPr>
            <w:r>
              <w:rPr>
                <w:b/>
                <w:bCs/>
                <w:color w:val="auto"/>
                <w:spacing w:val="-18"/>
                <w:highlight w:val="none"/>
              </w:rPr>
              <w:t>岗位</w:t>
            </w:r>
          </w:p>
        </w:tc>
        <w:tc>
          <w:tcPr>
            <w:tcW w:w="765" w:type="dxa"/>
            <w:vAlign w:val="top"/>
          </w:tcPr>
          <w:p w14:paraId="4F4F819C">
            <w:pPr>
              <w:pStyle w:val="5"/>
              <w:spacing w:before="106" w:line="220" w:lineRule="auto"/>
              <w:ind w:left="167"/>
              <w:rPr>
                <w:color w:val="auto"/>
                <w:highlight w:val="none"/>
              </w:rPr>
            </w:pPr>
            <w:r>
              <w:rPr>
                <w:b/>
                <w:bCs/>
                <w:color w:val="auto"/>
                <w:spacing w:val="-7"/>
                <w:highlight w:val="none"/>
              </w:rPr>
              <w:t>人数</w:t>
            </w:r>
          </w:p>
        </w:tc>
        <w:tc>
          <w:tcPr>
            <w:tcW w:w="5893" w:type="dxa"/>
            <w:gridSpan w:val="2"/>
            <w:vAlign w:val="top"/>
          </w:tcPr>
          <w:p w14:paraId="28F52016">
            <w:pPr>
              <w:pStyle w:val="5"/>
              <w:spacing w:before="106" w:line="220" w:lineRule="auto"/>
              <w:ind w:left="2342"/>
              <w:rPr>
                <w:color w:val="auto"/>
                <w:highlight w:val="none"/>
              </w:rPr>
            </w:pPr>
            <w:r>
              <w:rPr>
                <w:b/>
                <w:bCs/>
                <w:color w:val="auto"/>
                <w:spacing w:val="-11"/>
                <w:highlight w:val="none"/>
              </w:rPr>
              <w:t>资</w:t>
            </w:r>
            <w:r>
              <w:rPr>
                <w:color w:val="auto"/>
                <w:spacing w:val="9"/>
                <w:highlight w:val="none"/>
              </w:rPr>
              <w:t xml:space="preserve"> </w:t>
            </w:r>
            <w:r>
              <w:rPr>
                <w:b/>
                <w:bCs/>
                <w:color w:val="auto"/>
                <w:spacing w:val="-11"/>
                <w:highlight w:val="none"/>
              </w:rPr>
              <w:t>格</w:t>
            </w:r>
            <w:r>
              <w:rPr>
                <w:color w:val="auto"/>
                <w:spacing w:val="10"/>
                <w:highlight w:val="none"/>
              </w:rPr>
              <w:t xml:space="preserve"> </w:t>
            </w:r>
            <w:r>
              <w:rPr>
                <w:b/>
                <w:bCs/>
                <w:color w:val="auto"/>
                <w:spacing w:val="-11"/>
                <w:highlight w:val="none"/>
              </w:rPr>
              <w:t>要</w:t>
            </w:r>
            <w:r>
              <w:rPr>
                <w:color w:val="auto"/>
                <w:spacing w:val="10"/>
                <w:highlight w:val="none"/>
              </w:rPr>
              <w:t xml:space="preserve"> </w:t>
            </w:r>
            <w:r>
              <w:rPr>
                <w:b/>
                <w:bCs/>
                <w:color w:val="auto"/>
                <w:spacing w:val="-11"/>
                <w:highlight w:val="none"/>
              </w:rPr>
              <w:t>求</w:t>
            </w:r>
          </w:p>
        </w:tc>
      </w:tr>
      <w:tr w14:paraId="11D31B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1055" w:type="dxa"/>
            <w:vMerge w:val="restart"/>
            <w:vAlign w:val="center"/>
          </w:tcPr>
          <w:p w14:paraId="6B242F09">
            <w:pPr>
              <w:pStyle w:val="5"/>
              <w:spacing w:before="62" w:line="219" w:lineRule="auto"/>
              <w:ind w:left="143"/>
              <w:jc w:val="center"/>
              <w:rPr>
                <w:color w:val="auto"/>
                <w:highlight w:val="none"/>
              </w:rPr>
            </w:pPr>
            <w:r>
              <w:rPr>
                <w:color w:val="auto"/>
                <w:spacing w:val="-1"/>
                <w:highlight w:val="none"/>
              </w:rPr>
              <w:t>BJZJ-01</w:t>
            </w:r>
          </w:p>
        </w:tc>
        <w:tc>
          <w:tcPr>
            <w:tcW w:w="1352" w:type="dxa"/>
            <w:vMerge w:val="restart"/>
            <w:vAlign w:val="center"/>
          </w:tcPr>
          <w:p w14:paraId="7E8A4E5D">
            <w:pPr>
              <w:pStyle w:val="5"/>
              <w:spacing w:before="36" w:line="220" w:lineRule="auto"/>
              <w:ind w:left="133"/>
              <w:jc w:val="center"/>
              <w:rPr>
                <w:color w:val="auto"/>
                <w:highlight w:val="none"/>
              </w:rPr>
            </w:pPr>
            <w:r>
              <w:rPr>
                <w:color w:val="auto"/>
                <w:spacing w:val="-3"/>
                <w:highlight w:val="none"/>
              </w:rPr>
              <w:t>项目负责人</w:t>
            </w:r>
          </w:p>
        </w:tc>
        <w:tc>
          <w:tcPr>
            <w:tcW w:w="765" w:type="dxa"/>
            <w:vMerge w:val="restart"/>
            <w:vAlign w:val="center"/>
          </w:tcPr>
          <w:p w14:paraId="64E94919">
            <w:pPr>
              <w:pStyle w:val="5"/>
              <w:spacing w:before="35" w:line="242" w:lineRule="auto"/>
              <w:ind w:left="347"/>
              <w:jc w:val="center"/>
              <w:rPr>
                <w:color w:val="auto"/>
                <w:highlight w:val="none"/>
              </w:rPr>
            </w:pPr>
            <w:r>
              <w:rPr>
                <w:color w:val="auto"/>
                <w:highlight w:val="none"/>
              </w:rPr>
              <w:t>1</w:t>
            </w:r>
          </w:p>
        </w:tc>
        <w:tc>
          <w:tcPr>
            <w:tcW w:w="5893" w:type="dxa"/>
            <w:gridSpan w:val="2"/>
            <w:vAlign w:val="top"/>
          </w:tcPr>
          <w:p w14:paraId="4F34B3CB">
            <w:pPr>
              <w:pStyle w:val="5"/>
              <w:spacing w:before="41" w:line="226" w:lineRule="auto"/>
              <w:ind w:left="118"/>
              <w:rPr>
                <w:color w:val="auto"/>
                <w:sz w:val="20"/>
                <w:szCs w:val="20"/>
                <w:highlight w:val="none"/>
              </w:rPr>
            </w:pPr>
            <w:r>
              <w:rPr>
                <w:color w:val="auto"/>
                <w:spacing w:val="9"/>
                <w:sz w:val="20"/>
                <w:szCs w:val="20"/>
                <w:highlight w:val="none"/>
              </w:rPr>
              <w:t>高级及以上职称，持有注册一级造价师证书(交通运输工程)</w:t>
            </w:r>
          </w:p>
        </w:tc>
      </w:tr>
      <w:tr w14:paraId="6E80D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9" w:type="dxa"/>
          <w:trHeight w:val="1643" w:hRule="atLeast"/>
        </w:trPr>
        <w:tc>
          <w:tcPr>
            <w:tcW w:w="1055" w:type="dxa"/>
            <w:vMerge w:val="continue"/>
            <w:vAlign w:val="center"/>
          </w:tcPr>
          <w:p w14:paraId="23F98F77">
            <w:pPr>
              <w:jc w:val="center"/>
              <w:rPr>
                <w:rFonts w:ascii="Arial"/>
                <w:color w:val="auto"/>
                <w:sz w:val="21"/>
                <w:highlight w:val="none"/>
              </w:rPr>
            </w:pPr>
          </w:p>
        </w:tc>
        <w:tc>
          <w:tcPr>
            <w:tcW w:w="1352" w:type="dxa"/>
            <w:vMerge w:val="continue"/>
            <w:vAlign w:val="center"/>
          </w:tcPr>
          <w:p w14:paraId="207F8E19">
            <w:pPr>
              <w:jc w:val="center"/>
              <w:rPr>
                <w:rFonts w:ascii="Arial"/>
                <w:color w:val="auto"/>
                <w:sz w:val="21"/>
                <w:highlight w:val="none"/>
              </w:rPr>
            </w:pPr>
          </w:p>
        </w:tc>
        <w:tc>
          <w:tcPr>
            <w:tcW w:w="765" w:type="dxa"/>
            <w:vMerge w:val="continue"/>
            <w:vAlign w:val="center"/>
          </w:tcPr>
          <w:p w14:paraId="7FB12832">
            <w:pPr>
              <w:jc w:val="center"/>
              <w:rPr>
                <w:rFonts w:ascii="Arial"/>
                <w:color w:val="auto"/>
                <w:sz w:val="21"/>
                <w:highlight w:val="none"/>
              </w:rPr>
            </w:pPr>
          </w:p>
        </w:tc>
        <w:tc>
          <w:tcPr>
            <w:tcW w:w="5874" w:type="dxa"/>
            <w:vAlign w:val="top"/>
          </w:tcPr>
          <w:p w14:paraId="6389A805">
            <w:pPr>
              <w:pStyle w:val="5"/>
              <w:spacing w:before="35" w:line="295" w:lineRule="auto"/>
              <w:ind w:left="115" w:right="146"/>
              <w:jc w:val="both"/>
              <w:rPr>
                <w:color w:val="auto"/>
                <w:sz w:val="20"/>
                <w:szCs w:val="20"/>
                <w:highlight w:val="none"/>
              </w:rPr>
            </w:pPr>
            <w:r>
              <w:rPr>
                <w:color w:val="auto"/>
                <w:spacing w:val="9"/>
                <w:sz w:val="20"/>
                <w:szCs w:val="20"/>
                <w:highlight w:val="none"/>
              </w:rPr>
              <w:t>或交通运输部公路工程甲级造价工程师证书,持证时间不少于3年</w:t>
            </w:r>
            <w:r>
              <w:rPr>
                <w:rFonts w:hint="eastAsia"/>
                <w:color w:val="auto"/>
                <w:spacing w:val="9"/>
                <w:sz w:val="20"/>
                <w:szCs w:val="20"/>
                <w:highlight w:val="none"/>
                <w:lang w:eastAsia="zh-CN"/>
              </w:rPr>
              <w:t>（</w:t>
            </w:r>
            <w:r>
              <w:rPr>
                <w:rFonts w:hint="eastAsia"/>
                <w:color w:val="auto"/>
                <w:spacing w:val="9"/>
                <w:sz w:val="20"/>
                <w:szCs w:val="20"/>
                <w:highlight w:val="none"/>
                <w:lang w:val="en-US" w:eastAsia="zh-CN"/>
              </w:rPr>
              <w:t>以资格证的批准日期为准</w:t>
            </w:r>
            <w:r>
              <w:rPr>
                <w:rFonts w:hint="eastAsia"/>
                <w:color w:val="auto"/>
                <w:spacing w:val="9"/>
                <w:sz w:val="20"/>
                <w:szCs w:val="20"/>
                <w:highlight w:val="none"/>
                <w:lang w:eastAsia="zh-CN"/>
              </w:rPr>
              <w:t>）</w:t>
            </w:r>
            <w:r>
              <w:rPr>
                <w:color w:val="auto"/>
                <w:spacing w:val="9"/>
                <w:sz w:val="20"/>
                <w:szCs w:val="20"/>
                <w:highlight w:val="none"/>
              </w:rPr>
              <w:t>，且证书在有效期内；2021年（含） 以来，至少担任过1项新建或改扩建高速公路(应至少包括路基桥隧、路面等主体工程)项目的造价咨询或工程决算编制工作服务项目的项目负责人。</w:t>
            </w:r>
          </w:p>
        </w:tc>
      </w:tr>
      <w:tr w14:paraId="7AEBAA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9" w:type="dxa"/>
          <w:trHeight w:val="1965" w:hRule="atLeast"/>
        </w:trPr>
        <w:tc>
          <w:tcPr>
            <w:tcW w:w="1055" w:type="dxa"/>
            <w:vMerge w:val="continue"/>
            <w:vAlign w:val="center"/>
          </w:tcPr>
          <w:p w14:paraId="27F41742">
            <w:pPr>
              <w:jc w:val="center"/>
              <w:rPr>
                <w:rFonts w:ascii="Arial"/>
                <w:color w:val="auto"/>
                <w:sz w:val="21"/>
                <w:highlight w:val="none"/>
              </w:rPr>
            </w:pPr>
          </w:p>
        </w:tc>
        <w:tc>
          <w:tcPr>
            <w:tcW w:w="1352" w:type="dxa"/>
            <w:vAlign w:val="center"/>
          </w:tcPr>
          <w:p w14:paraId="23A7A5B7">
            <w:pPr>
              <w:spacing w:line="254" w:lineRule="auto"/>
              <w:jc w:val="center"/>
              <w:rPr>
                <w:rFonts w:ascii="Arial"/>
                <w:color w:val="auto"/>
                <w:sz w:val="21"/>
                <w:highlight w:val="none"/>
              </w:rPr>
            </w:pPr>
          </w:p>
          <w:p w14:paraId="2BEAC960">
            <w:pPr>
              <w:spacing w:line="255" w:lineRule="auto"/>
              <w:jc w:val="center"/>
              <w:rPr>
                <w:rFonts w:ascii="Arial"/>
                <w:color w:val="auto"/>
                <w:sz w:val="21"/>
                <w:highlight w:val="none"/>
              </w:rPr>
            </w:pPr>
          </w:p>
          <w:p w14:paraId="5352CB36">
            <w:pPr>
              <w:spacing w:line="255" w:lineRule="auto"/>
              <w:jc w:val="center"/>
              <w:rPr>
                <w:rFonts w:ascii="Arial"/>
                <w:color w:val="auto"/>
                <w:sz w:val="21"/>
                <w:highlight w:val="none"/>
              </w:rPr>
            </w:pPr>
          </w:p>
          <w:p w14:paraId="65B3ED5B">
            <w:pPr>
              <w:pStyle w:val="5"/>
              <w:spacing w:before="71" w:line="220" w:lineRule="auto"/>
              <w:ind w:left="131"/>
              <w:jc w:val="center"/>
              <w:rPr>
                <w:color w:val="auto"/>
                <w:highlight w:val="none"/>
              </w:rPr>
            </w:pPr>
            <w:r>
              <w:rPr>
                <w:color w:val="auto"/>
                <w:spacing w:val="-2"/>
                <w:highlight w:val="none"/>
              </w:rPr>
              <w:t>技术负责人</w:t>
            </w:r>
          </w:p>
        </w:tc>
        <w:tc>
          <w:tcPr>
            <w:tcW w:w="765" w:type="dxa"/>
            <w:vAlign w:val="center"/>
          </w:tcPr>
          <w:p w14:paraId="18A72C80">
            <w:pPr>
              <w:spacing w:line="254" w:lineRule="auto"/>
              <w:jc w:val="center"/>
              <w:rPr>
                <w:rFonts w:ascii="Arial"/>
                <w:color w:val="auto"/>
                <w:sz w:val="21"/>
                <w:highlight w:val="none"/>
              </w:rPr>
            </w:pPr>
          </w:p>
          <w:p w14:paraId="3A265EEF">
            <w:pPr>
              <w:spacing w:line="254" w:lineRule="auto"/>
              <w:jc w:val="center"/>
              <w:rPr>
                <w:rFonts w:ascii="Arial"/>
                <w:color w:val="auto"/>
                <w:sz w:val="21"/>
                <w:highlight w:val="none"/>
              </w:rPr>
            </w:pPr>
          </w:p>
          <w:p w14:paraId="0FDA335E">
            <w:pPr>
              <w:spacing w:line="255" w:lineRule="auto"/>
              <w:jc w:val="center"/>
              <w:rPr>
                <w:rFonts w:ascii="Arial"/>
                <w:color w:val="auto"/>
                <w:sz w:val="21"/>
                <w:highlight w:val="none"/>
              </w:rPr>
            </w:pPr>
          </w:p>
          <w:p w14:paraId="655AEF4D">
            <w:pPr>
              <w:pStyle w:val="5"/>
              <w:spacing w:before="72" w:line="242" w:lineRule="auto"/>
              <w:ind w:left="347"/>
              <w:jc w:val="center"/>
              <w:rPr>
                <w:color w:val="auto"/>
                <w:highlight w:val="none"/>
              </w:rPr>
            </w:pPr>
            <w:r>
              <w:rPr>
                <w:color w:val="auto"/>
                <w:highlight w:val="none"/>
              </w:rPr>
              <w:t>1</w:t>
            </w:r>
          </w:p>
        </w:tc>
        <w:tc>
          <w:tcPr>
            <w:tcW w:w="5874" w:type="dxa"/>
            <w:vAlign w:val="top"/>
          </w:tcPr>
          <w:p w14:paraId="2F010111">
            <w:pPr>
              <w:pStyle w:val="5"/>
              <w:spacing w:before="35" w:line="295" w:lineRule="auto"/>
              <w:ind w:left="115" w:right="146"/>
              <w:jc w:val="both"/>
              <w:rPr>
                <w:color w:val="auto"/>
                <w:sz w:val="20"/>
                <w:szCs w:val="20"/>
                <w:highlight w:val="none"/>
              </w:rPr>
            </w:pPr>
            <w:r>
              <w:rPr>
                <w:color w:val="auto"/>
                <w:spacing w:val="9"/>
                <w:sz w:val="20"/>
                <w:szCs w:val="20"/>
                <w:highlight w:val="none"/>
              </w:rPr>
              <w:t>高级及以上职称，持有注册一级造价师证书(交通运输工程)或交通运输部公路工程甲级造价工程师证书,持证时间不少于3 年</w:t>
            </w:r>
            <w:r>
              <w:rPr>
                <w:rFonts w:hint="eastAsia"/>
                <w:color w:val="auto"/>
                <w:spacing w:val="9"/>
                <w:sz w:val="20"/>
                <w:szCs w:val="20"/>
                <w:highlight w:val="none"/>
                <w:lang w:eastAsia="zh-CN"/>
              </w:rPr>
              <w:t>（</w:t>
            </w:r>
            <w:r>
              <w:rPr>
                <w:rFonts w:hint="eastAsia"/>
                <w:color w:val="auto"/>
                <w:spacing w:val="9"/>
                <w:sz w:val="20"/>
                <w:szCs w:val="20"/>
                <w:highlight w:val="none"/>
                <w:lang w:val="en-US" w:eastAsia="zh-CN"/>
              </w:rPr>
              <w:t>以资格证的批准日期为准</w:t>
            </w:r>
            <w:r>
              <w:rPr>
                <w:rFonts w:hint="eastAsia"/>
                <w:color w:val="auto"/>
                <w:spacing w:val="9"/>
                <w:sz w:val="20"/>
                <w:szCs w:val="20"/>
                <w:highlight w:val="none"/>
                <w:lang w:eastAsia="zh-CN"/>
              </w:rPr>
              <w:t>）</w:t>
            </w:r>
            <w:r>
              <w:rPr>
                <w:color w:val="auto"/>
                <w:spacing w:val="9"/>
                <w:sz w:val="20"/>
                <w:szCs w:val="20"/>
                <w:highlight w:val="none"/>
              </w:rPr>
              <w:t>，且证书在有效期内；2021 年（含） 以来，至少担任过 1项新建或改扩建高速公路(应至少包括路基桥隧、路面等主体工程)项目的造价咨询或工程决算编制工作服务项目的项目负责人或技术负责人。</w:t>
            </w:r>
          </w:p>
        </w:tc>
      </w:tr>
      <w:tr w14:paraId="592BD3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9" w:type="dxa"/>
          <w:trHeight w:val="1965" w:hRule="atLeast"/>
        </w:trPr>
        <w:tc>
          <w:tcPr>
            <w:tcW w:w="1055" w:type="dxa"/>
            <w:vMerge w:val="restart"/>
            <w:tcBorders>
              <w:bottom w:val="nil"/>
            </w:tcBorders>
            <w:vAlign w:val="top"/>
          </w:tcPr>
          <w:p w14:paraId="61BA233B">
            <w:pPr>
              <w:spacing w:line="253" w:lineRule="auto"/>
              <w:rPr>
                <w:rFonts w:ascii="Arial"/>
                <w:color w:val="auto"/>
                <w:sz w:val="21"/>
                <w:highlight w:val="none"/>
              </w:rPr>
            </w:pPr>
          </w:p>
          <w:p w14:paraId="0FC8C901">
            <w:pPr>
              <w:spacing w:line="253" w:lineRule="auto"/>
              <w:rPr>
                <w:rFonts w:ascii="Arial"/>
                <w:color w:val="auto"/>
                <w:sz w:val="21"/>
                <w:highlight w:val="none"/>
              </w:rPr>
            </w:pPr>
          </w:p>
          <w:p w14:paraId="25BD8144">
            <w:pPr>
              <w:spacing w:line="253" w:lineRule="auto"/>
              <w:rPr>
                <w:rFonts w:ascii="Arial"/>
                <w:color w:val="auto"/>
                <w:sz w:val="21"/>
                <w:highlight w:val="none"/>
              </w:rPr>
            </w:pPr>
          </w:p>
          <w:p w14:paraId="3019DF75">
            <w:pPr>
              <w:spacing w:line="253" w:lineRule="auto"/>
              <w:rPr>
                <w:rFonts w:ascii="Arial"/>
                <w:color w:val="auto"/>
                <w:sz w:val="21"/>
                <w:highlight w:val="none"/>
              </w:rPr>
            </w:pPr>
          </w:p>
          <w:p w14:paraId="13420ED0">
            <w:pPr>
              <w:spacing w:line="253" w:lineRule="auto"/>
              <w:rPr>
                <w:rFonts w:ascii="Arial"/>
                <w:color w:val="auto"/>
                <w:sz w:val="21"/>
                <w:highlight w:val="none"/>
              </w:rPr>
            </w:pPr>
          </w:p>
          <w:p w14:paraId="06626A4A">
            <w:pPr>
              <w:spacing w:line="254" w:lineRule="auto"/>
              <w:rPr>
                <w:rFonts w:ascii="Arial"/>
                <w:color w:val="auto"/>
                <w:sz w:val="21"/>
                <w:highlight w:val="none"/>
              </w:rPr>
            </w:pPr>
          </w:p>
          <w:p w14:paraId="79605A48">
            <w:pPr>
              <w:spacing w:line="254" w:lineRule="auto"/>
              <w:rPr>
                <w:rFonts w:ascii="Arial"/>
                <w:color w:val="auto"/>
                <w:sz w:val="21"/>
                <w:highlight w:val="none"/>
              </w:rPr>
            </w:pPr>
          </w:p>
          <w:p w14:paraId="09C42855">
            <w:pPr>
              <w:pStyle w:val="5"/>
              <w:spacing w:before="71" w:line="219" w:lineRule="auto"/>
              <w:ind w:left="143"/>
              <w:rPr>
                <w:color w:val="auto"/>
                <w:highlight w:val="none"/>
              </w:rPr>
            </w:pPr>
            <w:r>
              <w:rPr>
                <w:color w:val="auto"/>
                <w:spacing w:val="-1"/>
                <w:highlight w:val="none"/>
              </w:rPr>
              <w:t>BJZJ-02</w:t>
            </w:r>
          </w:p>
        </w:tc>
        <w:tc>
          <w:tcPr>
            <w:tcW w:w="1352" w:type="dxa"/>
            <w:vAlign w:val="top"/>
          </w:tcPr>
          <w:p w14:paraId="14180A31">
            <w:pPr>
              <w:spacing w:line="254" w:lineRule="auto"/>
              <w:rPr>
                <w:rFonts w:ascii="Arial"/>
                <w:color w:val="auto"/>
                <w:sz w:val="21"/>
                <w:highlight w:val="none"/>
              </w:rPr>
            </w:pPr>
          </w:p>
          <w:p w14:paraId="499A91AB">
            <w:pPr>
              <w:spacing w:line="255" w:lineRule="auto"/>
              <w:rPr>
                <w:rFonts w:ascii="Arial"/>
                <w:color w:val="auto"/>
                <w:sz w:val="21"/>
                <w:highlight w:val="none"/>
              </w:rPr>
            </w:pPr>
          </w:p>
          <w:p w14:paraId="12B3FA97">
            <w:pPr>
              <w:spacing w:line="255" w:lineRule="auto"/>
              <w:rPr>
                <w:rFonts w:ascii="Arial"/>
                <w:color w:val="auto"/>
                <w:sz w:val="21"/>
                <w:highlight w:val="none"/>
              </w:rPr>
            </w:pPr>
          </w:p>
          <w:p w14:paraId="5C25586C">
            <w:pPr>
              <w:pStyle w:val="5"/>
              <w:spacing w:before="72" w:line="220" w:lineRule="auto"/>
              <w:ind w:left="133"/>
              <w:rPr>
                <w:color w:val="auto"/>
                <w:highlight w:val="none"/>
              </w:rPr>
            </w:pPr>
            <w:r>
              <w:rPr>
                <w:color w:val="auto"/>
                <w:spacing w:val="-3"/>
                <w:highlight w:val="none"/>
              </w:rPr>
              <w:t>项目负责人</w:t>
            </w:r>
          </w:p>
        </w:tc>
        <w:tc>
          <w:tcPr>
            <w:tcW w:w="765" w:type="dxa"/>
            <w:vAlign w:val="top"/>
          </w:tcPr>
          <w:p w14:paraId="555B4C00">
            <w:pPr>
              <w:spacing w:line="254" w:lineRule="auto"/>
              <w:rPr>
                <w:rFonts w:ascii="Arial"/>
                <w:color w:val="auto"/>
                <w:sz w:val="21"/>
                <w:highlight w:val="none"/>
              </w:rPr>
            </w:pPr>
          </w:p>
          <w:p w14:paraId="6D615E11">
            <w:pPr>
              <w:spacing w:line="255" w:lineRule="auto"/>
              <w:rPr>
                <w:rFonts w:ascii="Arial"/>
                <w:color w:val="auto"/>
                <w:sz w:val="21"/>
                <w:highlight w:val="none"/>
              </w:rPr>
            </w:pPr>
          </w:p>
          <w:p w14:paraId="11D95CB8">
            <w:pPr>
              <w:spacing w:line="255" w:lineRule="auto"/>
              <w:rPr>
                <w:rFonts w:ascii="Arial"/>
                <w:color w:val="auto"/>
                <w:sz w:val="21"/>
                <w:highlight w:val="none"/>
              </w:rPr>
            </w:pPr>
          </w:p>
          <w:p w14:paraId="71C166E7">
            <w:pPr>
              <w:pStyle w:val="5"/>
              <w:spacing w:before="71" w:line="242" w:lineRule="auto"/>
              <w:ind w:left="347"/>
              <w:rPr>
                <w:color w:val="auto"/>
                <w:highlight w:val="none"/>
              </w:rPr>
            </w:pPr>
            <w:r>
              <w:rPr>
                <w:color w:val="auto"/>
                <w:highlight w:val="none"/>
              </w:rPr>
              <w:t>1</w:t>
            </w:r>
          </w:p>
        </w:tc>
        <w:tc>
          <w:tcPr>
            <w:tcW w:w="5874" w:type="dxa"/>
            <w:vAlign w:val="top"/>
          </w:tcPr>
          <w:p w14:paraId="797177C8">
            <w:pPr>
              <w:pStyle w:val="5"/>
              <w:spacing w:before="35" w:line="295" w:lineRule="auto"/>
              <w:ind w:left="115" w:right="146"/>
              <w:jc w:val="both"/>
              <w:rPr>
                <w:color w:val="auto"/>
                <w:sz w:val="20"/>
                <w:szCs w:val="20"/>
                <w:highlight w:val="none"/>
              </w:rPr>
            </w:pPr>
            <w:r>
              <w:rPr>
                <w:color w:val="auto"/>
                <w:spacing w:val="9"/>
                <w:sz w:val="20"/>
                <w:szCs w:val="20"/>
                <w:highlight w:val="none"/>
              </w:rPr>
              <w:t>高级及以上职称，持有注册一级造价师证书(交通运输工程)或交通运输部公路工程甲级造价工程师证书,持证时间不少于3 年</w:t>
            </w:r>
            <w:r>
              <w:rPr>
                <w:rFonts w:hint="eastAsia"/>
                <w:color w:val="auto"/>
                <w:spacing w:val="9"/>
                <w:sz w:val="20"/>
                <w:szCs w:val="20"/>
                <w:highlight w:val="none"/>
                <w:lang w:eastAsia="zh-CN"/>
              </w:rPr>
              <w:t>（</w:t>
            </w:r>
            <w:r>
              <w:rPr>
                <w:rFonts w:hint="eastAsia"/>
                <w:color w:val="auto"/>
                <w:spacing w:val="9"/>
                <w:sz w:val="20"/>
                <w:szCs w:val="20"/>
                <w:highlight w:val="none"/>
                <w:lang w:val="en-US" w:eastAsia="zh-CN"/>
              </w:rPr>
              <w:t>以资格证的批准日期为准</w:t>
            </w:r>
            <w:r>
              <w:rPr>
                <w:rFonts w:hint="eastAsia"/>
                <w:color w:val="auto"/>
                <w:spacing w:val="9"/>
                <w:sz w:val="20"/>
                <w:szCs w:val="20"/>
                <w:highlight w:val="none"/>
                <w:lang w:eastAsia="zh-CN"/>
              </w:rPr>
              <w:t>）</w:t>
            </w:r>
            <w:r>
              <w:rPr>
                <w:color w:val="auto"/>
                <w:spacing w:val="9"/>
                <w:sz w:val="20"/>
                <w:szCs w:val="20"/>
                <w:highlight w:val="none"/>
              </w:rPr>
              <w:t>，且证书在有效期内；2021 年（含） 以来，至少担任过 1项新建或改扩建高速公路(应至少包括路基桥隧、路面等主体工程)项目的造价咨询或工程决算编制工作服务项目的项目负责人。</w:t>
            </w:r>
          </w:p>
        </w:tc>
      </w:tr>
      <w:tr w14:paraId="639A4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9" w:type="dxa"/>
          <w:trHeight w:val="1965" w:hRule="atLeast"/>
        </w:trPr>
        <w:tc>
          <w:tcPr>
            <w:tcW w:w="1055" w:type="dxa"/>
            <w:vMerge w:val="continue"/>
            <w:tcBorders>
              <w:top w:val="nil"/>
            </w:tcBorders>
            <w:vAlign w:val="top"/>
          </w:tcPr>
          <w:p w14:paraId="77EEC573">
            <w:pPr>
              <w:rPr>
                <w:rFonts w:ascii="Arial"/>
                <w:color w:val="auto"/>
                <w:sz w:val="21"/>
                <w:highlight w:val="none"/>
              </w:rPr>
            </w:pPr>
          </w:p>
        </w:tc>
        <w:tc>
          <w:tcPr>
            <w:tcW w:w="1352" w:type="dxa"/>
            <w:vAlign w:val="top"/>
          </w:tcPr>
          <w:p w14:paraId="3E01D195">
            <w:pPr>
              <w:spacing w:line="255" w:lineRule="auto"/>
              <w:rPr>
                <w:rFonts w:ascii="Arial"/>
                <w:color w:val="auto"/>
                <w:sz w:val="21"/>
                <w:highlight w:val="none"/>
              </w:rPr>
            </w:pPr>
          </w:p>
          <w:p w14:paraId="30D00CAB">
            <w:pPr>
              <w:spacing w:line="255" w:lineRule="auto"/>
              <w:rPr>
                <w:rFonts w:ascii="Arial"/>
                <w:color w:val="auto"/>
                <w:sz w:val="21"/>
                <w:highlight w:val="none"/>
              </w:rPr>
            </w:pPr>
          </w:p>
          <w:p w14:paraId="107DE8DE">
            <w:pPr>
              <w:spacing w:line="255" w:lineRule="auto"/>
              <w:rPr>
                <w:rFonts w:ascii="Arial"/>
                <w:color w:val="auto"/>
                <w:sz w:val="21"/>
                <w:highlight w:val="none"/>
              </w:rPr>
            </w:pPr>
          </w:p>
          <w:p w14:paraId="48ABE819">
            <w:pPr>
              <w:pStyle w:val="5"/>
              <w:spacing w:before="71" w:line="220" w:lineRule="auto"/>
              <w:ind w:left="131"/>
              <w:rPr>
                <w:color w:val="auto"/>
                <w:highlight w:val="none"/>
              </w:rPr>
            </w:pPr>
            <w:r>
              <w:rPr>
                <w:color w:val="auto"/>
                <w:spacing w:val="-2"/>
                <w:highlight w:val="none"/>
              </w:rPr>
              <w:t>技术负责人</w:t>
            </w:r>
          </w:p>
        </w:tc>
        <w:tc>
          <w:tcPr>
            <w:tcW w:w="765" w:type="dxa"/>
            <w:vAlign w:val="top"/>
          </w:tcPr>
          <w:p w14:paraId="1257AB4E">
            <w:pPr>
              <w:spacing w:line="254" w:lineRule="auto"/>
              <w:rPr>
                <w:rFonts w:ascii="Arial"/>
                <w:color w:val="auto"/>
                <w:sz w:val="21"/>
                <w:highlight w:val="none"/>
              </w:rPr>
            </w:pPr>
          </w:p>
          <w:p w14:paraId="2C29918C">
            <w:pPr>
              <w:spacing w:line="255" w:lineRule="auto"/>
              <w:rPr>
                <w:rFonts w:ascii="Arial"/>
                <w:color w:val="auto"/>
                <w:sz w:val="21"/>
                <w:highlight w:val="none"/>
              </w:rPr>
            </w:pPr>
          </w:p>
          <w:p w14:paraId="28F26596">
            <w:pPr>
              <w:spacing w:line="255" w:lineRule="auto"/>
              <w:rPr>
                <w:rFonts w:ascii="Arial"/>
                <w:color w:val="auto"/>
                <w:sz w:val="21"/>
                <w:highlight w:val="none"/>
              </w:rPr>
            </w:pPr>
          </w:p>
          <w:p w14:paraId="67C8E1D0">
            <w:pPr>
              <w:pStyle w:val="5"/>
              <w:spacing w:before="72" w:line="242" w:lineRule="auto"/>
              <w:ind w:left="347"/>
              <w:rPr>
                <w:color w:val="auto"/>
                <w:highlight w:val="none"/>
              </w:rPr>
            </w:pPr>
            <w:r>
              <w:rPr>
                <w:color w:val="auto"/>
                <w:highlight w:val="none"/>
              </w:rPr>
              <w:t>1</w:t>
            </w:r>
          </w:p>
        </w:tc>
        <w:tc>
          <w:tcPr>
            <w:tcW w:w="5874" w:type="dxa"/>
            <w:vAlign w:val="top"/>
          </w:tcPr>
          <w:p w14:paraId="5552D051">
            <w:pPr>
              <w:pStyle w:val="5"/>
              <w:spacing w:before="30" w:line="296" w:lineRule="auto"/>
              <w:ind w:left="115" w:right="146" w:firstLine="3"/>
              <w:rPr>
                <w:color w:val="auto"/>
                <w:sz w:val="20"/>
                <w:szCs w:val="20"/>
                <w:highlight w:val="none"/>
              </w:rPr>
            </w:pPr>
            <w:r>
              <w:rPr>
                <w:color w:val="auto"/>
                <w:spacing w:val="5"/>
                <w:sz w:val="20"/>
                <w:szCs w:val="20"/>
                <w:highlight w:val="none"/>
              </w:rPr>
              <w:t>高级及以上职称，持有注册一级造价师证书(交通运输工程)或交通运输部公路工程甲级造价工程师证书,持证时间不少于3 年</w:t>
            </w:r>
            <w:r>
              <w:rPr>
                <w:rFonts w:hint="eastAsia"/>
                <w:color w:val="auto"/>
                <w:spacing w:val="5"/>
                <w:sz w:val="20"/>
                <w:szCs w:val="20"/>
                <w:highlight w:val="none"/>
                <w:lang w:eastAsia="zh-CN"/>
              </w:rPr>
              <w:t>（</w:t>
            </w:r>
            <w:r>
              <w:rPr>
                <w:rFonts w:hint="eastAsia"/>
                <w:color w:val="auto"/>
                <w:spacing w:val="5"/>
                <w:sz w:val="20"/>
                <w:szCs w:val="20"/>
                <w:highlight w:val="none"/>
                <w:lang w:val="en-US" w:eastAsia="zh-CN"/>
              </w:rPr>
              <w:t>以资格证的批准日期为准</w:t>
            </w:r>
            <w:r>
              <w:rPr>
                <w:rFonts w:hint="eastAsia"/>
                <w:color w:val="auto"/>
                <w:spacing w:val="5"/>
                <w:sz w:val="20"/>
                <w:szCs w:val="20"/>
                <w:highlight w:val="none"/>
                <w:lang w:eastAsia="zh-CN"/>
              </w:rPr>
              <w:t>）</w:t>
            </w:r>
            <w:r>
              <w:rPr>
                <w:color w:val="auto"/>
                <w:spacing w:val="5"/>
                <w:sz w:val="20"/>
                <w:szCs w:val="20"/>
                <w:highlight w:val="none"/>
              </w:rPr>
              <w:t>，且证书在有效期内；2021</w:t>
            </w:r>
            <w:r>
              <w:rPr>
                <w:color w:val="auto"/>
                <w:spacing w:val="-37"/>
                <w:sz w:val="20"/>
                <w:szCs w:val="20"/>
                <w:highlight w:val="none"/>
              </w:rPr>
              <w:t xml:space="preserve"> </w:t>
            </w:r>
            <w:r>
              <w:rPr>
                <w:color w:val="auto"/>
                <w:spacing w:val="5"/>
                <w:sz w:val="20"/>
                <w:szCs w:val="20"/>
                <w:highlight w:val="none"/>
              </w:rPr>
              <w:t>年（含）</w:t>
            </w:r>
            <w:r>
              <w:rPr>
                <w:color w:val="auto"/>
                <w:spacing w:val="-58"/>
                <w:sz w:val="20"/>
                <w:szCs w:val="20"/>
                <w:highlight w:val="none"/>
              </w:rPr>
              <w:t xml:space="preserve"> </w:t>
            </w:r>
            <w:r>
              <w:rPr>
                <w:color w:val="auto"/>
                <w:spacing w:val="5"/>
                <w:sz w:val="20"/>
                <w:szCs w:val="20"/>
                <w:highlight w:val="none"/>
              </w:rPr>
              <w:t>以来，至少担任过</w:t>
            </w:r>
            <w:r>
              <w:rPr>
                <w:color w:val="auto"/>
                <w:spacing w:val="-21"/>
                <w:sz w:val="20"/>
                <w:szCs w:val="20"/>
                <w:highlight w:val="none"/>
              </w:rPr>
              <w:t xml:space="preserve"> </w:t>
            </w:r>
            <w:r>
              <w:rPr>
                <w:color w:val="auto"/>
                <w:spacing w:val="5"/>
                <w:sz w:val="20"/>
                <w:szCs w:val="20"/>
                <w:highlight w:val="none"/>
              </w:rPr>
              <w:t>1</w:t>
            </w:r>
            <w:r>
              <w:rPr>
                <w:color w:val="auto"/>
                <w:spacing w:val="9"/>
                <w:sz w:val="20"/>
                <w:szCs w:val="20"/>
                <w:highlight w:val="none"/>
              </w:rPr>
              <w:t>项新建或改扩建高速公路(应至少包括路基桥隧、路面等主体工程)项目的造价咨询或工程决算编制工作服务项目的项目负</w:t>
            </w:r>
            <w:r>
              <w:rPr>
                <w:color w:val="auto"/>
                <w:spacing w:val="7"/>
                <w:sz w:val="20"/>
                <w:szCs w:val="20"/>
                <w:highlight w:val="none"/>
              </w:rPr>
              <w:t>责人或技术负责人。</w:t>
            </w:r>
          </w:p>
        </w:tc>
      </w:tr>
      <w:tr w14:paraId="0DD0C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9" w:type="dxa"/>
          <w:trHeight w:val="1965" w:hRule="atLeast"/>
        </w:trPr>
        <w:tc>
          <w:tcPr>
            <w:tcW w:w="1055" w:type="dxa"/>
            <w:vMerge w:val="restart"/>
            <w:tcBorders>
              <w:bottom w:val="nil"/>
            </w:tcBorders>
            <w:vAlign w:val="top"/>
          </w:tcPr>
          <w:p w14:paraId="2D2FD322">
            <w:pPr>
              <w:spacing w:line="253" w:lineRule="auto"/>
              <w:rPr>
                <w:rFonts w:ascii="Arial"/>
                <w:color w:val="auto"/>
                <w:sz w:val="21"/>
                <w:highlight w:val="none"/>
              </w:rPr>
            </w:pPr>
          </w:p>
          <w:p w14:paraId="0F5F4117">
            <w:pPr>
              <w:spacing w:line="253" w:lineRule="auto"/>
              <w:rPr>
                <w:rFonts w:ascii="Arial"/>
                <w:color w:val="auto"/>
                <w:sz w:val="21"/>
                <w:highlight w:val="none"/>
              </w:rPr>
            </w:pPr>
          </w:p>
          <w:p w14:paraId="1948BC92">
            <w:pPr>
              <w:spacing w:line="253" w:lineRule="auto"/>
              <w:rPr>
                <w:rFonts w:ascii="Arial"/>
                <w:color w:val="auto"/>
                <w:sz w:val="21"/>
                <w:highlight w:val="none"/>
              </w:rPr>
            </w:pPr>
          </w:p>
          <w:p w14:paraId="56D91E07">
            <w:pPr>
              <w:spacing w:line="253" w:lineRule="auto"/>
              <w:rPr>
                <w:rFonts w:ascii="Arial"/>
                <w:color w:val="auto"/>
                <w:sz w:val="21"/>
                <w:highlight w:val="none"/>
              </w:rPr>
            </w:pPr>
          </w:p>
          <w:p w14:paraId="2AF6C35F">
            <w:pPr>
              <w:spacing w:line="254" w:lineRule="auto"/>
              <w:rPr>
                <w:rFonts w:ascii="Arial"/>
                <w:color w:val="auto"/>
                <w:sz w:val="21"/>
                <w:highlight w:val="none"/>
              </w:rPr>
            </w:pPr>
          </w:p>
          <w:p w14:paraId="2BFCEFED">
            <w:pPr>
              <w:spacing w:line="254" w:lineRule="auto"/>
              <w:rPr>
                <w:rFonts w:ascii="Arial"/>
                <w:color w:val="auto"/>
                <w:sz w:val="21"/>
                <w:highlight w:val="none"/>
              </w:rPr>
            </w:pPr>
          </w:p>
          <w:p w14:paraId="01B87DF1">
            <w:pPr>
              <w:spacing w:line="254" w:lineRule="auto"/>
              <w:rPr>
                <w:rFonts w:ascii="Arial"/>
                <w:color w:val="auto"/>
                <w:sz w:val="21"/>
                <w:highlight w:val="none"/>
              </w:rPr>
            </w:pPr>
          </w:p>
          <w:p w14:paraId="56E1D9C1">
            <w:pPr>
              <w:pStyle w:val="5"/>
              <w:spacing w:before="71" w:line="219" w:lineRule="auto"/>
              <w:ind w:left="143"/>
              <w:rPr>
                <w:color w:val="auto"/>
                <w:highlight w:val="none"/>
              </w:rPr>
            </w:pPr>
            <w:r>
              <w:rPr>
                <w:color w:val="auto"/>
                <w:spacing w:val="-1"/>
                <w:highlight w:val="none"/>
              </w:rPr>
              <w:t>BJZJ-03</w:t>
            </w:r>
          </w:p>
        </w:tc>
        <w:tc>
          <w:tcPr>
            <w:tcW w:w="1352" w:type="dxa"/>
            <w:vAlign w:val="top"/>
          </w:tcPr>
          <w:p w14:paraId="77842D03">
            <w:pPr>
              <w:spacing w:line="255" w:lineRule="auto"/>
              <w:rPr>
                <w:rFonts w:ascii="Arial"/>
                <w:color w:val="auto"/>
                <w:sz w:val="21"/>
                <w:highlight w:val="none"/>
              </w:rPr>
            </w:pPr>
          </w:p>
          <w:p w14:paraId="3D8F1094">
            <w:pPr>
              <w:spacing w:line="256" w:lineRule="auto"/>
              <w:rPr>
                <w:rFonts w:ascii="Arial"/>
                <w:color w:val="auto"/>
                <w:sz w:val="21"/>
                <w:highlight w:val="none"/>
              </w:rPr>
            </w:pPr>
          </w:p>
          <w:p w14:paraId="32806C72">
            <w:pPr>
              <w:spacing w:line="256" w:lineRule="auto"/>
              <w:rPr>
                <w:rFonts w:ascii="Arial"/>
                <w:color w:val="auto"/>
                <w:sz w:val="21"/>
                <w:highlight w:val="none"/>
              </w:rPr>
            </w:pPr>
          </w:p>
          <w:p w14:paraId="5CCA6A14">
            <w:pPr>
              <w:pStyle w:val="5"/>
              <w:spacing w:before="72" w:line="220" w:lineRule="auto"/>
              <w:ind w:left="133"/>
              <w:rPr>
                <w:color w:val="auto"/>
                <w:highlight w:val="none"/>
              </w:rPr>
            </w:pPr>
            <w:r>
              <w:rPr>
                <w:color w:val="auto"/>
                <w:spacing w:val="-3"/>
                <w:highlight w:val="none"/>
              </w:rPr>
              <w:t>项目负责人</w:t>
            </w:r>
          </w:p>
        </w:tc>
        <w:tc>
          <w:tcPr>
            <w:tcW w:w="765" w:type="dxa"/>
            <w:vAlign w:val="top"/>
          </w:tcPr>
          <w:p w14:paraId="161B1D90">
            <w:pPr>
              <w:spacing w:line="255" w:lineRule="auto"/>
              <w:rPr>
                <w:rFonts w:ascii="Arial"/>
                <w:color w:val="auto"/>
                <w:sz w:val="21"/>
                <w:highlight w:val="none"/>
              </w:rPr>
            </w:pPr>
          </w:p>
          <w:p w14:paraId="08FAECE9">
            <w:pPr>
              <w:spacing w:line="256" w:lineRule="auto"/>
              <w:rPr>
                <w:rFonts w:ascii="Arial"/>
                <w:color w:val="auto"/>
                <w:sz w:val="21"/>
                <w:highlight w:val="none"/>
              </w:rPr>
            </w:pPr>
          </w:p>
          <w:p w14:paraId="22815AC4">
            <w:pPr>
              <w:spacing w:line="256" w:lineRule="auto"/>
              <w:rPr>
                <w:rFonts w:ascii="Arial"/>
                <w:color w:val="auto"/>
                <w:sz w:val="21"/>
                <w:highlight w:val="none"/>
              </w:rPr>
            </w:pPr>
          </w:p>
          <w:p w14:paraId="33CD16CF">
            <w:pPr>
              <w:pStyle w:val="5"/>
              <w:spacing w:before="72" w:line="242" w:lineRule="auto"/>
              <w:ind w:left="347"/>
              <w:rPr>
                <w:color w:val="auto"/>
                <w:highlight w:val="none"/>
              </w:rPr>
            </w:pPr>
            <w:r>
              <w:rPr>
                <w:color w:val="auto"/>
                <w:highlight w:val="none"/>
              </w:rPr>
              <w:t>1</w:t>
            </w:r>
          </w:p>
        </w:tc>
        <w:tc>
          <w:tcPr>
            <w:tcW w:w="5874" w:type="dxa"/>
            <w:vAlign w:val="top"/>
          </w:tcPr>
          <w:p w14:paraId="71F3E18C">
            <w:pPr>
              <w:pStyle w:val="5"/>
              <w:spacing w:before="30" w:line="296" w:lineRule="auto"/>
              <w:ind w:left="115" w:right="146" w:firstLine="3"/>
              <w:rPr>
                <w:rFonts w:hint="eastAsia"/>
                <w:color w:val="auto"/>
                <w:spacing w:val="5"/>
                <w:sz w:val="20"/>
                <w:szCs w:val="20"/>
                <w:highlight w:val="none"/>
                <w:lang w:val="en-US" w:eastAsia="zh-CN"/>
              </w:rPr>
            </w:pPr>
            <w:r>
              <w:rPr>
                <w:rFonts w:hint="eastAsia"/>
                <w:color w:val="auto"/>
                <w:spacing w:val="5"/>
                <w:sz w:val="20"/>
                <w:szCs w:val="20"/>
                <w:highlight w:val="none"/>
                <w:lang w:val="en-US" w:eastAsia="zh-CN"/>
              </w:rPr>
              <w:t>高级及以上职称，持有注册一级造价师证书(交通运输工程)或交通运输部公路工程甲级造价工程师证书,持证时间不少于3 年（以资格证的批准日期为准），且证书在有效期内；2021 年（含） 以来，至少担任过 1项新建或改扩建高速公路(应至少包括路基桥隧、路面等主体工程)项目的工程决算编制或竣工决算审计工作服务项目的项目负责人。</w:t>
            </w:r>
          </w:p>
        </w:tc>
      </w:tr>
      <w:tr w14:paraId="4FB039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9" w:type="dxa"/>
          <w:trHeight w:val="507" w:hRule="atLeast"/>
        </w:trPr>
        <w:tc>
          <w:tcPr>
            <w:tcW w:w="1055" w:type="dxa"/>
            <w:vMerge w:val="continue"/>
            <w:tcBorders>
              <w:top w:val="nil"/>
            </w:tcBorders>
            <w:vAlign w:val="top"/>
          </w:tcPr>
          <w:p w14:paraId="4A5BA62D">
            <w:pPr>
              <w:rPr>
                <w:rFonts w:ascii="Arial"/>
                <w:color w:val="auto"/>
                <w:sz w:val="21"/>
                <w:highlight w:val="none"/>
              </w:rPr>
            </w:pPr>
          </w:p>
        </w:tc>
        <w:tc>
          <w:tcPr>
            <w:tcW w:w="1352" w:type="dxa"/>
            <w:vAlign w:val="top"/>
          </w:tcPr>
          <w:p w14:paraId="3AF9E1A4">
            <w:pPr>
              <w:spacing w:line="256" w:lineRule="auto"/>
              <w:rPr>
                <w:rFonts w:ascii="Arial"/>
                <w:color w:val="auto"/>
                <w:sz w:val="21"/>
                <w:highlight w:val="none"/>
              </w:rPr>
            </w:pPr>
          </w:p>
          <w:p w14:paraId="7163A735">
            <w:pPr>
              <w:spacing w:line="256" w:lineRule="auto"/>
              <w:rPr>
                <w:rFonts w:ascii="Arial"/>
                <w:color w:val="auto"/>
                <w:sz w:val="21"/>
                <w:highlight w:val="none"/>
              </w:rPr>
            </w:pPr>
          </w:p>
          <w:p w14:paraId="7C0228C2">
            <w:pPr>
              <w:spacing w:line="256" w:lineRule="auto"/>
              <w:rPr>
                <w:rFonts w:ascii="Arial"/>
                <w:color w:val="auto"/>
                <w:sz w:val="21"/>
                <w:highlight w:val="none"/>
              </w:rPr>
            </w:pPr>
          </w:p>
          <w:p w14:paraId="3086FD60">
            <w:pPr>
              <w:pStyle w:val="5"/>
              <w:spacing w:before="71" w:line="220" w:lineRule="auto"/>
              <w:ind w:left="131"/>
              <w:rPr>
                <w:color w:val="auto"/>
                <w:highlight w:val="none"/>
              </w:rPr>
            </w:pPr>
            <w:r>
              <w:rPr>
                <w:color w:val="auto"/>
                <w:spacing w:val="-2"/>
                <w:highlight w:val="none"/>
              </w:rPr>
              <w:t>技术负责人</w:t>
            </w:r>
          </w:p>
        </w:tc>
        <w:tc>
          <w:tcPr>
            <w:tcW w:w="765" w:type="dxa"/>
            <w:vAlign w:val="top"/>
          </w:tcPr>
          <w:p w14:paraId="364E87BB">
            <w:pPr>
              <w:spacing w:line="255" w:lineRule="auto"/>
              <w:rPr>
                <w:rFonts w:ascii="Arial"/>
                <w:color w:val="auto"/>
                <w:sz w:val="21"/>
                <w:highlight w:val="none"/>
              </w:rPr>
            </w:pPr>
          </w:p>
          <w:p w14:paraId="755BEB08">
            <w:pPr>
              <w:spacing w:line="256" w:lineRule="auto"/>
              <w:rPr>
                <w:rFonts w:ascii="Arial"/>
                <w:color w:val="auto"/>
                <w:sz w:val="21"/>
                <w:highlight w:val="none"/>
              </w:rPr>
            </w:pPr>
          </w:p>
          <w:p w14:paraId="23A3B497">
            <w:pPr>
              <w:spacing w:line="256" w:lineRule="auto"/>
              <w:rPr>
                <w:rFonts w:ascii="Arial"/>
                <w:color w:val="auto"/>
                <w:sz w:val="21"/>
                <w:highlight w:val="none"/>
              </w:rPr>
            </w:pPr>
          </w:p>
          <w:p w14:paraId="0F2B3417">
            <w:pPr>
              <w:pStyle w:val="5"/>
              <w:spacing w:before="72" w:line="242" w:lineRule="auto"/>
              <w:ind w:left="347"/>
              <w:rPr>
                <w:color w:val="auto"/>
                <w:highlight w:val="none"/>
              </w:rPr>
            </w:pPr>
            <w:r>
              <w:rPr>
                <w:color w:val="auto"/>
                <w:highlight w:val="none"/>
              </w:rPr>
              <w:t>1</w:t>
            </w:r>
          </w:p>
        </w:tc>
        <w:tc>
          <w:tcPr>
            <w:tcW w:w="5874" w:type="dxa"/>
            <w:vAlign w:val="top"/>
          </w:tcPr>
          <w:p w14:paraId="619947D3">
            <w:pPr>
              <w:pStyle w:val="5"/>
              <w:spacing w:before="30" w:line="296" w:lineRule="auto"/>
              <w:ind w:left="115" w:right="146" w:firstLine="3"/>
              <w:rPr>
                <w:rFonts w:hint="eastAsia"/>
                <w:color w:val="auto"/>
                <w:spacing w:val="5"/>
                <w:sz w:val="20"/>
                <w:szCs w:val="20"/>
                <w:highlight w:val="none"/>
                <w:lang w:val="en-US" w:eastAsia="zh-CN"/>
              </w:rPr>
            </w:pPr>
            <w:r>
              <w:rPr>
                <w:rFonts w:hint="eastAsia"/>
                <w:color w:val="auto"/>
                <w:spacing w:val="5"/>
                <w:sz w:val="20"/>
                <w:szCs w:val="20"/>
                <w:highlight w:val="none"/>
                <w:lang w:val="en-US" w:eastAsia="zh-CN"/>
              </w:rPr>
              <w:t>高级及以上职称，持有注册一级造价师证书(交通运输工程)或交通运输部公路工程甲级造价工程师证书,持证时间不少于3 年（以资格证的批准日期为准），且证书在有效期内；2021 年（含） 以来，至少担任过 1项新建或改扩建高速公路(应至少包括路基桥隧、路面等主体工程)项目的工程决算编制或竣工决算审计工作服务项目的项目负责人或技术负责人。</w:t>
            </w:r>
          </w:p>
        </w:tc>
      </w:tr>
    </w:tbl>
    <w:p w14:paraId="47DB7B80">
      <w:pPr>
        <w:spacing w:before="32" w:line="359" w:lineRule="auto"/>
        <w:ind w:firstLine="441"/>
        <w:rPr>
          <w:rFonts w:ascii="宋体" w:hAnsi="宋体" w:eastAsia="宋体" w:cs="宋体"/>
          <w:color w:val="auto"/>
          <w:sz w:val="22"/>
          <w:szCs w:val="22"/>
          <w:highlight w:val="none"/>
        </w:rPr>
      </w:pPr>
      <w:r>
        <w:rPr>
          <w:rFonts w:ascii="宋体" w:hAnsi="宋体" w:eastAsia="宋体" w:cs="宋体"/>
          <w:color w:val="auto"/>
          <w:spacing w:val="1"/>
          <w:sz w:val="22"/>
          <w:szCs w:val="22"/>
          <w:highlight w:val="none"/>
        </w:rPr>
        <w:t>注：1.业绩时间认定以合同签订日期为准，且必须是投标人本单位在职人员，提供投标人</w:t>
      </w:r>
      <w:r>
        <w:rPr>
          <w:rFonts w:ascii="宋体" w:hAnsi="宋体" w:eastAsia="宋体" w:cs="宋体"/>
          <w:color w:val="auto"/>
          <w:sz w:val="22"/>
          <w:szCs w:val="22"/>
          <w:highlight w:val="none"/>
        </w:rPr>
        <w:t>所属社保机构出具的社保缴费证明或其他能够证明参加社保的有效证</w:t>
      </w:r>
      <w:r>
        <w:rPr>
          <w:rFonts w:ascii="宋体" w:hAnsi="宋体" w:eastAsia="宋体" w:cs="宋体"/>
          <w:color w:val="auto"/>
          <w:spacing w:val="-1"/>
          <w:sz w:val="22"/>
          <w:szCs w:val="22"/>
          <w:highlight w:val="none"/>
        </w:rPr>
        <w:t>明材料彩色扫描件。</w:t>
      </w:r>
    </w:p>
    <w:p w14:paraId="065E4A20">
      <w:pPr>
        <w:spacing w:line="219" w:lineRule="auto"/>
        <w:ind w:left="444"/>
        <w:rPr>
          <w:rFonts w:ascii="宋体" w:hAnsi="宋体" w:eastAsia="宋体" w:cs="宋体"/>
          <w:color w:val="auto"/>
          <w:sz w:val="22"/>
          <w:szCs w:val="22"/>
          <w:highlight w:val="none"/>
        </w:rPr>
      </w:pPr>
      <w:r>
        <w:rPr>
          <w:rFonts w:ascii="宋体" w:hAnsi="宋体" w:eastAsia="宋体" w:cs="宋体"/>
          <w:color w:val="auto"/>
          <w:sz w:val="22"/>
          <w:szCs w:val="22"/>
          <w:highlight w:val="none"/>
        </w:rPr>
        <w:t>2.评审因素要求的证书、证件，投标人均须在投标文件里</w:t>
      </w:r>
      <w:r>
        <w:rPr>
          <w:rFonts w:ascii="宋体" w:hAnsi="宋体" w:eastAsia="宋体" w:cs="宋体"/>
          <w:color w:val="auto"/>
          <w:spacing w:val="-1"/>
          <w:sz w:val="22"/>
          <w:szCs w:val="22"/>
          <w:highlight w:val="none"/>
        </w:rPr>
        <w:t>提供证书、证件的彩色扫描件。</w:t>
      </w:r>
    </w:p>
    <w:p w14:paraId="0B9429DD">
      <w:pPr>
        <w:spacing w:before="166" w:line="219" w:lineRule="auto"/>
        <w:ind w:left="446"/>
        <w:rPr>
          <w:rFonts w:ascii="宋体" w:hAnsi="宋体" w:eastAsia="宋体" w:cs="宋体"/>
          <w:color w:val="auto"/>
          <w:sz w:val="22"/>
          <w:szCs w:val="22"/>
          <w:highlight w:val="none"/>
        </w:rPr>
      </w:pPr>
      <w:r>
        <w:rPr>
          <w:rFonts w:ascii="宋体" w:hAnsi="宋体" w:eastAsia="宋体" w:cs="宋体"/>
          <w:color w:val="auto"/>
          <w:sz w:val="22"/>
          <w:szCs w:val="22"/>
          <w:highlight w:val="none"/>
        </w:rPr>
        <w:t>3.项目负责人及技术负责人需附业主的业绩</w:t>
      </w:r>
      <w:r>
        <w:rPr>
          <w:rFonts w:ascii="宋体" w:hAnsi="宋体" w:eastAsia="宋体" w:cs="宋体"/>
          <w:color w:val="auto"/>
          <w:spacing w:val="-1"/>
          <w:sz w:val="22"/>
          <w:szCs w:val="22"/>
          <w:highlight w:val="none"/>
        </w:rPr>
        <w:t>证明材料，否则人员业绩不予考虑。</w:t>
      </w:r>
    </w:p>
    <w:p w14:paraId="1F4E9BB9">
      <w:pPr>
        <w:keepNext w:val="0"/>
        <w:keepLines w:val="0"/>
        <w:pageBreakBefore w:val="0"/>
        <w:widowControl w:val="0"/>
        <w:kinsoku/>
        <w:wordWrap/>
        <w:overflowPunct/>
        <w:topLinePunct w:val="0"/>
        <w:autoSpaceDE/>
        <w:autoSpaceDN/>
        <w:bidi w:val="0"/>
        <w:adjustRightInd/>
        <w:snapToGrid/>
        <w:spacing w:line="360" w:lineRule="auto"/>
        <w:ind w:firstLine="500" w:firstLineChars="200"/>
        <w:jc w:val="both"/>
        <w:textAlignment w:val="auto"/>
        <w:rPr>
          <w:rFonts w:ascii="宋体" w:hAnsi="宋体" w:eastAsia="宋体" w:cs="宋体"/>
          <w:color w:val="auto"/>
          <w:spacing w:val="5"/>
          <w:sz w:val="24"/>
          <w:szCs w:val="24"/>
          <w:highlight w:val="none"/>
        </w:rPr>
      </w:pPr>
      <w:r>
        <w:rPr>
          <w:rFonts w:ascii="宋体" w:hAnsi="宋体" w:eastAsia="宋体" w:cs="宋体"/>
          <w:color w:val="auto"/>
          <w:spacing w:val="5"/>
          <w:sz w:val="24"/>
          <w:szCs w:val="24"/>
          <w:highlight w:val="none"/>
        </w:rPr>
        <w:t>3.2 本次招标不接受联合体投标。</w:t>
      </w:r>
    </w:p>
    <w:p w14:paraId="3E0742F5">
      <w:pPr>
        <w:keepNext w:val="0"/>
        <w:keepLines w:val="0"/>
        <w:pageBreakBefore w:val="0"/>
        <w:widowControl w:val="0"/>
        <w:kinsoku/>
        <w:wordWrap/>
        <w:overflowPunct/>
        <w:topLinePunct w:val="0"/>
        <w:autoSpaceDE/>
        <w:autoSpaceDN/>
        <w:bidi w:val="0"/>
        <w:adjustRightInd/>
        <w:snapToGrid/>
        <w:spacing w:line="360" w:lineRule="auto"/>
        <w:ind w:firstLine="500" w:firstLineChars="200"/>
        <w:jc w:val="both"/>
        <w:textAlignment w:val="auto"/>
        <w:rPr>
          <w:rFonts w:ascii="宋体" w:hAnsi="宋体" w:eastAsia="宋体" w:cs="宋体"/>
          <w:color w:val="auto"/>
          <w:spacing w:val="5"/>
          <w:sz w:val="24"/>
          <w:szCs w:val="24"/>
          <w:highlight w:val="none"/>
        </w:rPr>
      </w:pPr>
      <w:r>
        <w:rPr>
          <w:rFonts w:ascii="宋体" w:hAnsi="宋体" w:eastAsia="宋体" w:cs="宋体"/>
          <w:color w:val="auto"/>
          <w:spacing w:val="5"/>
          <w:sz w:val="24"/>
          <w:szCs w:val="24"/>
          <w:highlight w:val="none"/>
        </w:rPr>
        <w:t>3.3 在“中国执行信息公开网”(</w:t>
      </w:r>
      <w:r>
        <w:rPr>
          <w:rFonts w:ascii="宋体" w:hAnsi="宋体" w:eastAsia="宋体" w:cs="宋体"/>
          <w:color w:val="auto"/>
          <w:spacing w:val="5"/>
          <w:sz w:val="24"/>
          <w:szCs w:val="24"/>
          <w:highlight w:val="none"/>
        </w:rPr>
        <w:fldChar w:fldCharType="begin"/>
      </w:r>
      <w:r>
        <w:rPr>
          <w:rFonts w:ascii="宋体" w:hAnsi="宋体" w:eastAsia="宋体" w:cs="宋体"/>
          <w:color w:val="auto"/>
          <w:spacing w:val="5"/>
          <w:sz w:val="24"/>
          <w:szCs w:val="24"/>
          <w:highlight w:val="none"/>
        </w:rPr>
        <w:instrText xml:space="preserve"> HYPERLINK "http://zxgk.court.gov.cn/" </w:instrText>
      </w:r>
      <w:r>
        <w:rPr>
          <w:rFonts w:ascii="宋体" w:hAnsi="宋体" w:eastAsia="宋体" w:cs="宋体"/>
          <w:color w:val="auto"/>
          <w:spacing w:val="5"/>
          <w:sz w:val="24"/>
          <w:szCs w:val="24"/>
          <w:highlight w:val="none"/>
        </w:rPr>
        <w:fldChar w:fldCharType="separate"/>
      </w:r>
      <w:r>
        <w:rPr>
          <w:rFonts w:ascii="宋体" w:hAnsi="宋体" w:eastAsia="宋体" w:cs="宋体"/>
          <w:color w:val="auto"/>
          <w:spacing w:val="5"/>
          <w:sz w:val="24"/>
          <w:szCs w:val="24"/>
          <w:highlight w:val="none"/>
        </w:rPr>
        <w:t>http://zxgk.court.gov.cn/</w:t>
      </w:r>
      <w:r>
        <w:rPr>
          <w:rFonts w:ascii="宋体" w:hAnsi="宋体" w:eastAsia="宋体" w:cs="宋体"/>
          <w:color w:val="auto"/>
          <w:spacing w:val="5"/>
          <w:sz w:val="24"/>
          <w:szCs w:val="24"/>
          <w:highlight w:val="none"/>
        </w:rPr>
        <w:fldChar w:fldCharType="end"/>
      </w:r>
      <w:r>
        <w:rPr>
          <w:rFonts w:ascii="宋体" w:hAnsi="宋体" w:eastAsia="宋体" w:cs="宋体"/>
          <w:color w:val="auto"/>
          <w:spacing w:val="5"/>
          <w:sz w:val="24"/>
          <w:szCs w:val="24"/>
          <w:highlight w:val="none"/>
        </w:rPr>
        <w:t>)中被列入失信被执行人名单的投标人，不得参加投标。</w:t>
      </w:r>
    </w:p>
    <w:p w14:paraId="48277F31">
      <w:pPr>
        <w:keepNext w:val="0"/>
        <w:keepLines w:val="0"/>
        <w:pageBreakBefore w:val="0"/>
        <w:widowControl w:val="0"/>
        <w:kinsoku/>
        <w:wordWrap/>
        <w:overflowPunct/>
        <w:topLinePunct w:val="0"/>
        <w:autoSpaceDE/>
        <w:autoSpaceDN/>
        <w:bidi w:val="0"/>
        <w:adjustRightInd/>
        <w:snapToGrid/>
        <w:spacing w:line="360" w:lineRule="auto"/>
        <w:ind w:firstLine="500" w:firstLineChars="200"/>
        <w:jc w:val="both"/>
        <w:textAlignment w:val="auto"/>
        <w:rPr>
          <w:rFonts w:ascii="宋体" w:hAnsi="宋体" w:eastAsia="宋体" w:cs="宋体"/>
          <w:color w:val="auto"/>
          <w:spacing w:val="5"/>
          <w:sz w:val="24"/>
          <w:szCs w:val="24"/>
          <w:highlight w:val="none"/>
        </w:rPr>
      </w:pPr>
      <w:r>
        <w:rPr>
          <w:rFonts w:ascii="宋体" w:hAnsi="宋体" w:eastAsia="宋体" w:cs="宋体"/>
          <w:color w:val="auto"/>
          <w:spacing w:val="5"/>
          <w:sz w:val="24"/>
          <w:szCs w:val="24"/>
          <w:highlight w:val="none"/>
        </w:rPr>
        <w:t>3.4 投标人按标段进行投标。同一投标人可同时对多个标段进行投标，最多可以获得 1 个标段的中标资格。</w:t>
      </w:r>
    </w:p>
    <w:p w14:paraId="2C9E3267">
      <w:pPr>
        <w:keepNext w:val="0"/>
        <w:keepLines w:val="0"/>
        <w:pageBreakBefore w:val="0"/>
        <w:widowControl w:val="0"/>
        <w:kinsoku/>
        <w:wordWrap/>
        <w:overflowPunct/>
        <w:topLinePunct w:val="0"/>
        <w:autoSpaceDE/>
        <w:autoSpaceDN/>
        <w:bidi w:val="0"/>
        <w:adjustRightInd/>
        <w:snapToGrid/>
        <w:spacing w:line="360" w:lineRule="auto"/>
        <w:ind w:firstLine="500" w:firstLineChars="200"/>
        <w:jc w:val="both"/>
        <w:textAlignment w:val="auto"/>
        <w:rPr>
          <w:rFonts w:ascii="宋体" w:hAnsi="宋体" w:eastAsia="宋体" w:cs="宋体"/>
          <w:color w:val="auto"/>
          <w:spacing w:val="5"/>
          <w:sz w:val="24"/>
          <w:szCs w:val="24"/>
          <w:highlight w:val="none"/>
        </w:rPr>
      </w:pPr>
      <w:r>
        <w:rPr>
          <w:rFonts w:ascii="宋体" w:hAnsi="宋体" w:eastAsia="宋体" w:cs="宋体"/>
          <w:color w:val="auto"/>
          <w:spacing w:val="5"/>
          <w:sz w:val="24"/>
          <w:szCs w:val="24"/>
          <w:highlight w:val="none"/>
        </w:rPr>
        <w:t>3.5 具有关联关系（单位负责人为同一人或者存在控股、管理关系的不同单位）的投标人，不得参加同一标段投标，若发现存在此情况，将同时否决具有关联关系投标人对该标段的投标。</w:t>
      </w:r>
    </w:p>
    <w:p w14:paraId="69D95C24">
      <w:pPr>
        <w:spacing w:line="219" w:lineRule="auto"/>
        <w:ind w:left="476"/>
        <w:rPr>
          <w:rFonts w:ascii="宋体" w:hAnsi="宋体" w:eastAsia="宋体" w:cs="宋体"/>
          <w:color w:val="auto"/>
          <w:sz w:val="24"/>
          <w:szCs w:val="24"/>
          <w:highlight w:val="none"/>
        </w:rPr>
      </w:pPr>
      <w:r>
        <w:rPr>
          <w:rFonts w:ascii="Calibri" w:hAnsi="Calibri" w:eastAsia="Calibri" w:cs="Calibri"/>
          <w:b/>
          <w:bCs/>
          <w:color w:val="auto"/>
          <w:spacing w:val="-3"/>
          <w:sz w:val="24"/>
          <w:szCs w:val="24"/>
          <w:highlight w:val="none"/>
        </w:rPr>
        <w:t>4.</w:t>
      </w:r>
      <w:r>
        <w:rPr>
          <w:rFonts w:ascii="宋体" w:hAnsi="宋体" w:eastAsia="宋体" w:cs="宋体"/>
          <w:b/>
          <w:bCs/>
          <w:color w:val="auto"/>
          <w:spacing w:val="-3"/>
          <w:sz w:val="24"/>
          <w:szCs w:val="24"/>
          <w:highlight w:val="none"/>
        </w:rPr>
        <w:t>招标文件的获取</w:t>
      </w:r>
    </w:p>
    <w:p w14:paraId="164F7B4E">
      <w:pPr>
        <w:keepNext w:val="0"/>
        <w:keepLines w:val="0"/>
        <w:pageBreakBefore w:val="0"/>
        <w:widowControl w:val="0"/>
        <w:kinsoku/>
        <w:wordWrap/>
        <w:overflowPunct/>
        <w:topLinePunct w:val="0"/>
        <w:autoSpaceDE/>
        <w:autoSpaceDN/>
        <w:bidi w:val="0"/>
        <w:adjustRightInd/>
        <w:snapToGrid/>
        <w:spacing w:line="360" w:lineRule="auto"/>
        <w:ind w:firstLine="500" w:firstLineChars="200"/>
        <w:jc w:val="both"/>
        <w:textAlignment w:val="auto"/>
        <w:rPr>
          <w:rFonts w:ascii="宋体" w:hAnsi="宋体" w:eastAsia="宋体" w:cs="宋体"/>
          <w:color w:val="auto"/>
          <w:spacing w:val="5"/>
          <w:sz w:val="24"/>
          <w:szCs w:val="24"/>
          <w:highlight w:val="none"/>
        </w:rPr>
      </w:pPr>
      <w:r>
        <w:rPr>
          <w:rFonts w:ascii="宋体" w:hAnsi="宋体" w:eastAsia="宋体" w:cs="宋体"/>
          <w:color w:val="auto"/>
          <w:spacing w:val="5"/>
          <w:sz w:val="24"/>
          <w:szCs w:val="24"/>
          <w:highlight w:val="none"/>
        </w:rPr>
        <w:t>4.1 凡有意参加投标者，请于 2026 年</w:t>
      </w:r>
      <w:r>
        <w:rPr>
          <w:rFonts w:hint="default" w:ascii="宋体" w:hAnsi="宋体" w:eastAsia="宋体" w:cs="宋体"/>
          <w:color w:val="auto"/>
          <w:spacing w:val="5"/>
          <w:sz w:val="24"/>
          <w:szCs w:val="24"/>
          <w:highlight w:val="none"/>
          <w:lang w:eastAsia="zh-CN"/>
        </w:rPr>
        <w:t>0</w:t>
      </w:r>
      <w:r>
        <w:rPr>
          <w:rFonts w:hint="default" w:ascii="宋体" w:hAnsi="宋体" w:eastAsia="宋体" w:cs="宋体"/>
          <w:color w:val="auto"/>
          <w:spacing w:val="5"/>
          <w:sz w:val="24"/>
          <w:szCs w:val="24"/>
          <w:highlight w:val="none"/>
          <w:lang w:val="en-US" w:eastAsia="zh-CN"/>
        </w:rPr>
        <w:t>9</w:t>
      </w:r>
      <w:r>
        <w:rPr>
          <w:rFonts w:ascii="宋体" w:hAnsi="宋体" w:eastAsia="宋体" w:cs="宋体"/>
          <w:color w:val="auto"/>
          <w:spacing w:val="5"/>
          <w:sz w:val="24"/>
          <w:szCs w:val="24"/>
          <w:highlight w:val="none"/>
        </w:rPr>
        <w:t>月</w:t>
      </w:r>
      <w:r>
        <w:rPr>
          <w:rFonts w:hint="default" w:ascii="宋体" w:hAnsi="宋体" w:eastAsia="宋体" w:cs="宋体"/>
          <w:color w:val="auto"/>
          <w:spacing w:val="5"/>
          <w:sz w:val="24"/>
          <w:szCs w:val="24"/>
          <w:highlight w:val="none"/>
          <w:lang w:eastAsia="zh-CN"/>
        </w:rPr>
        <w:t>2</w:t>
      </w:r>
      <w:r>
        <w:rPr>
          <w:rFonts w:hint="default" w:ascii="宋体" w:hAnsi="宋体" w:eastAsia="宋体" w:cs="宋体"/>
          <w:color w:val="auto"/>
          <w:spacing w:val="5"/>
          <w:sz w:val="24"/>
          <w:szCs w:val="24"/>
          <w:highlight w:val="none"/>
          <w:lang w:val="en-US" w:eastAsia="zh-CN"/>
        </w:rPr>
        <w:t>9</w:t>
      </w:r>
      <w:r>
        <w:rPr>
          <w:rFonts w:ascii="宋体" w:hAnsi="宋体" w:eastAsia="宋体" w:cs="宋体"/>
          <w:color w:val="auto"/>
          <w:spacing w:val="5"/>
          <w:sz w:val="24"/>
          <w:szCs w:val="24"/>
          <w:highlight w:val="none"/>
        </w:rPr>
        <w:t>日00时00分至 2026年</w:t>
      </w:r>
      <w:r>
        <w:rPr>
          <w:rFonts w:hint="default" w:ascii="宋体" w:hAnsi="宋体" w:eastAsia="宋体" w:cs="宋体"/>
          <w:color w:val="auto"/>
          <w:spacing w:val="5"/>
          <w:sz w:val="24"/>
          <w:szCs w:val="24"/>
          <w:highlight w:val="none"/>
          <w:lang w:eastAsia="zh-CN"/>
        </w:rPr>
        <w:t>1</w:t>
      </w:r>
      <w:r>
        <w:rPr>
          <w:rFonts w:hint="default" w:ascii="宋体" w:hAnsi="宋体" w:eastAsia="宋体" w:cs="宋体"/>
          <w:color w:val="auto"/>
          <w:spacing w:val="5"/>
          <w:sz w:val="24"/>
          <w:szCs w:val="24"/>
          <w:highlight w:val="none"/>
          <w:lang w:val="en-US" w:eastAsia="zh-CN"/>
        </w:rPr>
        <w:t>0</w:t>
      </w:r>
      <w:r>
        <w:rPr>
          <w:rFonts w:ascii="宋体" w:hAnsi="宋体" w:eastAsia="宋体" w:cs="宋体"/>
          <w:color w:val="auto"/>
          <w:spacing w:val="5"/>
          <w:sz w:val="24"/>
          <w:szCs w:val="24"/>
          <w:highlight w:val="none"/>
        </w:rPr>
        <w:t>月</w:t>
      </w:r>
      <w:r>
        <w:rPr>
          <w:rFonts w:hint="default" w:ascii="宋体" w:hAnsi="宋体" w:eastAsia="宋体" w:cs="宋体"/>
          <w:color w:val="auto"/>
          <w:spacing w:val="5"/>
          <w:sz w:val="24"/>
          <w:szCs w:val="24"/>
          <w:highlight w:val="none"/>
          <w:lang w:eastAsia="zh-CN"/>
        </w:rPr>
        <w:t>1</w:t>
      </w:r>
      <w:r>
        <w:rPr>
          <w:rFonts w:hint="default" w:ascii="宋体" w:hAnsi="宋体" w:eastAsia="宋体" w:cs="宋体"/>
          <w:color w:val="auto"/>
          <w:spacing w:val="5"/>
          <w:sz w:val="24"/>
          <w:szCs w:val="24"/>
          <w:highlight w:val="none"/>
          <w:lang w:val="en-US" w:eastAsia="zh-CN"/>
        </w:rPr>
        <w:t>1</w:t>
      </w:r>
      <w:r>
        <w:rPr>
          <w:rFonts w:ascii="宋体" w:hAnsi="宋体" w:eastAsia="宋体" w:cs="宋体"/>
          <w:color w:val="auto"/>
          <w:spacing w:val="5"/>
          <w:sz w:val="24"/>
          <w:szCs w:val="24"/>
          <w:highlight w:val="none"/>
        </w:rPr>
        <w:t>日00时 00分使用CA 数字证书在全国公共资源交易平台（陕西省）进行网上投标确认，同时在陕西正大项目管理咨询有限公司（宝鸡市宝虢路 80 号鹏博财富中心 6号楼1302号）持网上投标确认单、介绍信、经办人身份证原件进行线下缴费确认（工作时间：每日9：00- 11：30，14：00- 17：00）。</w:t>
      </w:r>
    </w:p>
    <w:p w14:paraId="1B7177D7">
      <w:pPr>
        <w:keepNext w:val="0"/>
        <w:keepLines w:val="0"/>
        <w:pageBreakBefore w:val="0"/>
        <w:widowControl w:val="0"/>
        <w:kinsoku/>
        <w:wordWrap/>
        <w:overflowPunct/>
        <w:topLinePunct w:val="0"/>
        <w:autoSpaceDE/>
        <w:autoSpaceDN/>
        <w:bidi w:val="0"/>
        <w:adjustRightInd/>
        <w:snapToGrid/>
        <w:spacing w:line="360" w:lineRule="auto"/>
        <w:ind w:firstLine="500" w:firstLineChars="200"/>
        <w:jc w:val="both"/>
        <w:textAlignment w:val="auto"/>
        <w:rPr>
          <w:rFonts w:ascii="宋体" w:hAnsi="宋体" w:eastAsia="宋体" w:cs="宋体"/>
          <w:color w:val="auto"/>
          <w:spacing w:val="5"/>
          <w:sz w:val="24"/>
          <w:szCs w:val="24"/>
          <w:highlight w:val="none"/>
        </w:rPr>
      </w:pPr>
      <w:r>
        <w:rPr>
          <w:rFonts w:ascii="宋体" w:hAnsi="宋体" w:eastAsia="宋体" w:cs="宋体"/>
          <w:color w:val="auto"/>
          <w:spacing w:val="5"/>
          <w:sz w:val="24"/>
          <w:szCs w:val="24"/>
          <w:highlight w:val="none"/>
        </w:rPr>
        <w:t>4.2 招标文件每标段/每套1000元，售后不退。</w:t>
      </w:r>
    </w:p>
    <w:p w14:paraId="35B22236">
      <w:pPr>
        <w:keepNext w:val="0"/>
        <w:keepLines w:val="0"/>
        <w:pageBreakBefore w:val="0"/>
        <w:widowControl w:val="0"/>
        <w:kinsoku/>
        <w:wordWrap/>
        <w:overflowPunct/>
        <w:topLinePunct w:val="0"/>
        <w:autoSpaceDE/>
        <w:autoSpaceDN/>
        <w:bidi w:val="0"/>
        <w:adjustRightInd/>
        <w:snapToGrid/>
        <w:spacing w:line="360" w:lineRule="auto"/>
        <w:ind w:firstLine="502" w:firstLineChars="200"/>
        <w:jc w:val="both"/>
        <w:textAlignment w:val="auto"/>
        <w:rPr>
          <w:rFonts w:ascii="宋体" w:hAnsi="宋体" w:eastAsia="宋体" w:cs="宋体"/>
          <w:b/>
          <w:bCs/>
          <w:color w:val="auto"/>
          <w:spacing w:val="5"/>
          <w:sz w:val="24"/>
          <w:szCs w:val="24"/>
          <w:highlight w:val="none"/>
        </w:rPr>
      </w:pPr>
      <w:r>
        <w:rPr>
          <w:rFonts w:ascii="宋体" w:hAnsi="宋体" w:eastAsia="宋体" w:cs="宋体"/>
          <w:b/>
          <w:bCs/>
          <w:color w:val="auto"/>
          <w:spacing w:val="5"/>
          <w:sz w:val="24"/>
          <w:szCs w:val="24"/>
          <w:highlight w:val="none"/>
        </w:rPr>
        <w:t>投标人须在招标文件获取时限内，下载获取电子招标文件及有关招标文件附件，逾期下载通道将关闭，未及时下载获取电子招标文件及有关招标文件附件将会导致后期无法上传电子投标文件，无法参与本项目投标，投标人后果自负。</w:t>
      </w:r>
    </w:p>
    <w:p w14:paraId="413AFC46">
      <w:pPr>
        <w:spacing w:line="219" w:lineRule="auto"/>
        <w:ind w:left="483"/>
        <w:rPr>
          <w:rFonts w:ascii="宋体" w:hAnsi="宋体" w:eastAsia="宋体" w:cs="宋体"/>
          <w:color w:val="auto"/>
          <w:sz w:val="24"/>
          <w:szCs w:val="24"/>
          <w:highlight w:val="none"/>
        </w:rPr>
      </w:pPr>
      <w:r>
        <w:rPr>
          <w:rFonts w:ascii="Calibri" w:hAnsi="Calibri" w:eastAsia="Calibri" w:cs="Calibri"/>
          <w:b/>
          <w:bCs/>
          <w:color w:val="auto"/>
          <w:spacing w:val="-3"/>
          <w:sz w:val="24"/>
          <w:szCs w:val="24"/>
          <w:highlight w:val="none"/>
        </w:rPr>
        <w:t>5.</w:t>
      </w:r>
      <w:r>
        <w:rPr>
          <w:rFonts w:ascii="宋体" w:hAnsi="宋体" w:eastAsia="宋体" w:cs="宋体"/>
          <w:b/>
          <w:bCs/>
          <w:color w:val="auto"/>
          <w:spacing w:val="-3"/>
          <w:sz w:val="24"/>
          <w:szCs w:val="24"/>
          <w:highlight w:val="none"/>
        </w:rPr>
        <w:t>投标文件的递交及相关事宜</w:t>
      </w:r>
    </w:p>
    <w:p w14:paraId="5ED4394B">
      <w:pPr>
        <w:keepNext w:val="0"/>
        <w:keepLines w:val="0"/>
        <w:pageBreakBefore w:val="0"/>
        <w:widowControl w:val="0"/>
        <w:kinsoku/>
        <w:wordWrap/>
        <w:overflowPunct/>
        <w:topLinePunct w:val="0"/>
        <w:autoSpaceDE/>
        <w:autoSpaceDN/>
        <w:bidi w:val="0"/>
        <w:adjustRightInd/>
        <w:snapToGrid/>
        <w:spacing w:line="360" w:lineRule="auto"/>
        <w:ind w:firstLine="500" w:firstLineChars="200"/>
        <w:jc w:val="both"/>
        <w:textAlignment w:val="auto"/>
        <w:rPr>
          <w:rFonts w:ascii="宋体" w:hAnsi="宋体" w:eastAsia="宋体" w:cs="宋体"/>
          <w:color w:val="auto"/>
          <w:spacing w:val="5"/>
          <w:sz w:val="24"/>
          <w:szCs w:val="24"/>
          <w:highlight w:val="none"/>
        </w:rPr>
      </w:pPr>
      <w:r>
        <w:rPr>
          <w:rFonts w:ascii="宋体" w:hAnsi="宋体" w:eastAsia="宋体" w:cs="宋体"/>
          <w:color w:val="auto"/>
          <w:spacing w:val="5"/>
          <w:sz w:val="24"/>
          <w:szCs w:val="24"/>
          <w:highlight w:val="none"/>
        </w:rPr>
        <w:t>5.1 招标人不组织工程现场踏勘，不召开投标预备会。</w:t>
      </w:r>
    </w:p>
    <w:p w14:paraId="27DB733B">
      <w:pPr>
        <w:keepNext w:val="0"/>
        <w:keepLines w:val="0"/>
        <w:pageBreakBefore w:val="0"/>
        <w:widowControl w:val="0"/>
        <w:kinsoku/>
        <w:wordWrap/>
        <w:overflowPunct/>
        <w:topLinePunct w:val="0"/>
        <w:autoSpaceDE/>
        <w:autoSpaceDN/>
        <w:bidi w:val="0"/>
        <w:adjustRightInd/>
        <w:snapToGrid/>
        <w:spacing w:line="360" w:lineRule="auto"/>
        <w:ind w:firstLine="500" w:firstLineChars="200"/>
        <w:jc w:val="both"/>
        <w:textAlignment w:val="auto"/>
        <w:rPr>
          <w:rFonts w:ascii="宋体" w:hAnsi="宋体" w:eastAsia="宋体" w:cs="宋体"/>
          <w:color w:val="auto"/>
          <w:spacing w:val="5"/>
          <w:sz w:val="24"/>
          <w:szCs w:val="24"/>
          <w:highlight w:val="none"/>
        </w:rPr>
      </w:pPr>
      <w:r>
        <w:rPr>
          <w:rFonts w:ascii="宋体" w:hAnsi="宋体" w:eastAsia="宋体" w:cs="宋体"/>
          <w:color w:val="auto"/>
          <w:spacing w:val="5"/>
          <w:sz w:val="24"/>
          <w:szCs w:val="24"/>
          <w:highlight w:val="none"/>
        </w:rPr>
        <w:t>5.2 投标文件递交的截止时间(投标截止时间，下同)为2026年</w:t>
      </w:r>
      <w:r>
        <w:rPr>
          <w:rFonts w:hint="default" w:ascii="宋体" w:hAnsi="宋体" w:eastAsia="宋体" w:cs="宋体"/>
          <w:color w:val="auto"/>
          <w:spacing w:val="5"/>
          <w:sz w:val="24"/>
          <w:szCs w:val="24"/>
          <w:highlight w:val="none"/>
          <w:lang w:eastAsia="zh-CN"/>
        </w:rPr>
        <w:t>1</w:t>
      </w:r>
      <w:r>
        <w:rPr>
          <w:rFonts w:hint="default" w:ascii="宋体" w:hAnsi="宋体" w:eastAsia="宋体" w:cs="宋体"/>
          <w:color w:val="auto"/>
          <w:spacing w:val="5"/>
          <w:sz w:val="24"/>
          <w:szCs w:val="24"/>
          <w:highlight w:val="none"/>
          <w:lang w:val="en-US" w:eastAsia="zh-CN"/>
        </w:rPr>
        <w:t>0</w:t>
      </w:r>
      <w:r>
        <w:rPr>
          <w:rFonts w:ascii="宋体" w:hAnsi="宋体" w:eastAsia="宋体" w:cs="宋体"/>
          <w:color w:val="auto"/>
          <w:spacing w:val="5"/>
          <w:sz w:val="24"/>
          <w:szCs w:val="24"/>
          <w:highlight w:val="none"/>
        </w:rPr>
        <w:t>月</w:t>
      </w:r>
      <w:r>
        <w:rPr>
          <w:rFonts w:hint="default" w:ascii="宋体" w:hAnsi="宋体" w:eastAsia="宋体" w:cs="宋体"/>
          <w:color w:val="auto"/>
          <w:spacing w:val="5"/>
          <w:sz w:val="24"/>
          <w:szCs w:val="24"/>
          <w:highlight w:val="none"/>
          <w:lang w:eastAsia="zh-CN"/>
        </w:rPr>
        <w:t>2</w:t>
      </w:r>
      <w:r>
        <w:rPr>
          <w:rFonts w:hint="default" w:ascii="宋体" w:hAnsi="宋体" w:eastAsia="宋体" w:cs="宋体"/>
          <w:color w:val="auto"/>
          <w:spacing w:val="5"/>
          <w:sz w:val="24"/>
          <w:szCs w:val="24"/>
          <w:highlight w:val="none"/>
          <w:lang w:val="en-US" w:eastAsia="zh-CN"/>
        </w:rPr>
        <w:t>8</w:t>
      </w:r>
      <w:r>
        <w:rPr>
          <w:rFonts w:ascii="宋体" w:hAnsi="宋体" w:eastAsia="宋体" w:cs="宋体"/>
          <w:color w:val="auto"/>
          <w:spacing w:val="5"/>
          <w:sz w:val="24"/>
          <w:szCs w:val="24"/>
          <w:highlight w:val="none"/>
        </w:rPr>
        <w:t>日09时00分，线上通过全国公共资源交易平台(陕西省)递交，线下递交至</w:t>
      </w:r>
      <w:r>
        <w:rPr>
          <w:rFonts w:hint="eastAsia" w:ascii="宋体" w:hAnsi="宋体" w:eastAsia="宋体" w:cs="宋体"/>
          <w:color w:val="auto"/>
          <w:spacing w:val="5"/>
          <w:sz w:val="24"/>
          <w:szCs w:val="24"/>
          <w:highlight w:val="none"/>
          <w:lang w:val="en-US" w:eastAsia="zh-CN"/>
        </w:rPr>
        <w:t>陕西省</w:t>
      </w:r>
      <w:r>
        <w:rPr>
          <w:rFonts w:ascii="宋体" w:hAnsi="宋体" w:eastAsia="宋体" w:cs="宋体"/>
          <w:color w:val="auto"/>
          <w:spacing w:val="5"/>
          <w:sz w:val="24"/>
          <w:szCs w:val="24"/>
          <w:highlight w:val="none"/>
        </w:rPr>
        <w:t>公共资源交易中心第</w:t>
      </w:r>
      <w:r>
        <w:rPr>
          <w:rFonts w:hint="eastAsia" w:ascii="宋体" w:hAnsi="宋体" w:eastAsia="宋体" w:cs="宋体"/>
          <w:color w:val="auto"/>
          <w:spacing w:val="5"/>
          <w:sz w:val="24"/>
          <w:szCs w:val="24"/>
          <w:highlight w:val="none"/>
          <w:lang w:eastAsia="zh-CN"/>
        </w:rPr>
        <w:t>4</w:t>
      </w:r>
      <w:r>
        <w:rPr>
          <w:rFonts w:hint="eastAsia" w:ascii="宋体" w:hAnsi="宋体" w:eastAsia="宋体" w:cs="宋体"/>
          <w:color w:val="auto"/>
          <w:spacing w:val="5"/>
          <w:sz w:val="24"/>
          <w:szCs w:val="24"/>
          <w:highlight w:val="none"/>
          <w:lang w:val="en-US" w:eastAsia="zh-CN"/>
        </w:rPr>
        <w:t>06</w:t>
      </w:r>
      <w:r>
        <w:rPr>
          <w:rFonts w:ascii="宋体" w:hAnsi="宋体" w:eastAsia="宋体" w:cs="宋体"/>
          <w:color w:val="auto"/>
          <w:spacing w:val="5"/>
          <w:sz w:val="24"/>
          <w:szCs w:val="24"/>
          <w:highlight w:val="none"/>
        </w:rPr>
        <w:t>开标室。</w:t>
      </w:r>
    </w:p>
    <w:p w14:paraId="67BA6E8C">
      <w:pPr>
        <w:keepNext w:val="0"/>
        <w:keepLines w:val="0"/>
        <w:pageBreakBefore w:val="0"/>
        <w:widowControl w:val="0"/>
        <w:kinsoku/>
        <w:wordWrap/>
        <w:overflowPunct/>
        <w:topLinePunct w:val="0"/>
        <w:autoSpaceDE/>
        <w:autoSpaceDN/>
        <w:bidi w:val="0"/>
        <w:adjustRightInd/>
        <w:snapToGrid/>
        <w:spacing w:line="360" w:lineRule="auto"/>
        <w:ind w:firstLine="500" w:firstLineChars="200"/>
        <w:jc w:val="both"/>
        <w:textAlignment w:val="auto"/>
        <w:rPr>
          <w:rFonts w:ascii="宋体" w:hAnsi="宋体" w:eastAsia="宋体" w:cs="宋体"/>
          <w:color w:val="auto"/>
          <w:spacing w:val="5"/>
          <w:sz w:val="24"/>
          <w:szCs w:val="24"/>
          <w:highlight w:val="none"/>
        </w:rPr>
      </w:pPr>
      <w:r>
        <w:rPr>
          <w:rFonts w:ascii="宋体" w:hAnsi="宋体" w:eastAsia="宋体" w:cs="宋体"/>
          <w:color w:val="auto"/>
          <w:spacing w:val="5"/>
          <w:sz w:val="24"/>
          <w:szCs w:val="24"/>
          <w:highlight w:val="none"/>
        </w:rPr>
        <w:t>5.3 逾期送达的、未送达指定地点的或不按照招标文件要求密封的投标文件，招标人将予以拒收。</w:t>
      </w:r>
    </w:p>
    <w:p w14:paraId="2FEE58B8">
      <w:pPr>
        <w:spacing w:before="2" w:line="217" w:lineRule="auto"/>
        <w:ind w:left="482"/>
        <w:rPr>
          <w:rFonts w:ascii="宋体" w:hAnsi="宋体" w:eastAsia="宋体" w:cs="宋体"/>
          <w:color w:val="auto"/>
          <w:sz w:val="24"/>
          <w:szCs w:val="24"/>
          <w:highlight w:val="none"/>
        </w:rPr>
      </w:pPr>
      <w:r>
        <w:rPr>
          <w:rFonts w:ascii="Calibri" w:hAnsi="Calibri" w:eastAsia="Calibri" w:cs="Calibri"/>
          <w:b/>
          <w:bCs/>
          <w:color w:val="auto"/>
          <w:spacing w:val="-3"/>
          <w:sz w:val="24"/>
          <w:szCs w:val="24"/>
          <w:highlight w:val="none"/>
        </w:rPr>
        <w:t>6.</w:t>
      </w:r>
      <w:r>
        <w:rPr>
          <w:rFonts w:ascii="宋体" w:hAnsi="宋体" w:eastAsia="宋体" w:cs="宋体"/>
          <w:b/>
          <w:bCs/>
          <w:color w:val="auto"/>
          <w:spacing w:val="-3"/>
          <w:sz w:val="24"/>
          <w:szCs w:val="24"/>
          <w:highlight w:val="none"/>
        </w:rPr>
        <w:t>发布公告的媒介</w:t>
      </w:r>
    </w:p>
    <w:p w14:paraId="2D375E89">
      <w:pPr>
        <w:keepNext w:val="0"/>
        <w:keepLines w:val="0"/>
        <w:pageBreakBefore w:val="0"/>
        <w:widowControl w:val="0"/>
        <w:kinsoku/>
        <w:wordWrap/>
        <w:overflowPunct/>
        <w:topLinePunct w:val="0"/>
        <w:autoSpaceDE/>
        <w:autoSpaceDN/>
        <w:bidi w:val="0"/>
        <w:adjustRightInd/>
        <w:snapToGrid/>
        <w:spacing w:line="360" w:lineRule="auto"/>
        <w:ind w:firstLine="500" w:firstLineChars="200"/>
        <w:jc w:val="both"/>
        <w:textAlignment w:val="auto"/>
        <w:rPr>
          <w:rFonts w:ascii="宋体" w:hAnsi="宋体" w:eastAsia="宋体" w:cs="宋体"/>
          <w:color w:val="auto"/>
          <w:spacing w:val="5"/>
          <w:sz w:val="24"/>
          <w:szCs w:val="24"/>
          <w:highlight w:val="none"/>
        </w:rPr>
      </w:pPr>
      <w:r>
        <w:rPr>
          <w:rFonts w:ascii="宋体" w:hAnsi="宋体" w:eastAsia="宋体" w:cs="宋体"/>
          <w:color w:val="auto"/>
          <w:spacing w:val="5"/>
          <w:sz w:val="24"/>
          <w:szCs w:val="24"/>
          <w:highlight w:val="none"/>
        </w:rPr>
        <w:t>本次招标公告同时在全国公共资源交易平台（陕西省）网站、中国招标投标公共服务平台、宝鸡市交通运输局网站发布。</w:t>
      </w:r>
    </w:p>
    <w:p w14:paraId="3DB4057C">
      <w:pPr>
        <w:spacing w:line="220" w:lineRule="auto"/>
        <w:ind w:left="482"/>
        <w:rPr>
          <w:rFonts w:ascii="宋体" w:hAnsi="宋体" w:eastAsia="宋体" w:cs="宋体"/>
          <w:color w:val="auto"/>
          <w:sz w:val="24"/>
          <w:szCs w:val="24"/>
          <w:highlight w:val="none"/>
        </w:rPr>
      </w:pPr>
      <w:r>
        <w:rPr>
          <w:rFonts w:ascii="Calibri" w:hAnsi="Calibri" w:eastAsia="Calibri" w:cs="Calibri"/>
          <w:b/>
          <w:bCs/>
          <w:color w:val="auto"/>
          <w:spacing w:val="-4"/>
          <w:sz w:val="24"/>
          <w:szCs w:val="24"/>
          <w:highlight w:val="none"/>
        </w:rPr>
        <w:t>7.</w:t>
      </w:r>
      <w:r>
        <w:rPr>
          <w:rFonts w:ascii="宋体" w:hAnsi="宋体" w:eastAsia="宋体" w:cs="宋体"/>
          <w:b/>
          <w:bCs/>
          <w:color w:val="auto"/>
          <w:spacing w:val="-4"/>
          <w:sz w:val="24"/>
          <w:szCs w:val="24"/>
          <w:highlight w:val="none"/>
        </w:rPr>
        <w:t>其他</w:t>
      </w:r>
    </w:p>
    <w:p w14:paraId="6F25AB9E">
      <w:pPr>
        <w:keepNext w:val="0"/>
        <w:keepLines w:val="0"/>
        <w:pageBreakBefore w:val="0"/>
        <w:widowControl w:val="0"/>
        <w:kinsoku/>
        <w:wordWrap/>
        <w:overflowPunct/>
        <w:topLinePunct w:val="0"/>
        <w:autoSpaceDE/>
        <w:autoSpaceDN/>
        <w:bidi w:val="0"/>
        <w:adjustRightInd/>
        <w:snapToGrid/>
        <w:spacing w:line="360" w:lineRule="auto"/>
        <w:ind w:firstLine="500" w:firstLineChars="200"/>
        <w:jc w:val="both"/>
        <w:textAlignment w:val="auto"/>
        <w:rPr>
          <w:rFonts w:ascii="宋体" w:hAnsi="宋体" w:eastAsia="宋体" w:cs="宋体"/>
          <w:color w:val="auto"/>
          <w:spacing w:val="5"/>
          <w:sz w:val="24"/>
          <w:szCs w:val="24"/>
          <w:highlight w:val="none"/>
        </w:rPr>
      </w:pPr>
      <w:r>
        <w:rPr>
          <w:rFonts w:ascii="宋体" w:hAnsi="宋体" w:eastAsia="宋体" w:cs="宋体"/>
          <w:color w:val="auto"/>
          <w:spacing w:val="5"/>
          <w:sz w:val="24"/>
          <w:szCs w:val="24"/>
          <w:highlight w:val="none"/>
        </w:rPr>
        <w:t>7.1 本项目采用资格后审。</w:t>
      </w:r>
    </w:p>
    <w:p w14:paraId="555782A4">
      <w:pPr>
        <w:keepNext w:val="0"/>
        <w:keepLines w:val="0"/>
        <w:pageBreakBefore w:val="0"/>
        <w:widowControl w:val="0"/>
        <w:kinsoku/>
        <w:wordWrap/>
        <w:overflowPunct/>
        <w:topLinePunct w:val="0"/>
        <w:autoSpaceDE/>
        <w:autoSpaceDN/>
        <w:bidi w:val="0"/>
        <w:adjustRightInd/>
        <w:snapToGrid/>
        <w:spacing w:line="360" w:lineRule="auto"/>
        <w:ind w:firstLine="500" w:firstLineChars="200"/>
        <w:jc w:val="both"/>
        <w:textAlignment w:val="auto"/>
        <w:rPr>
          <w:rFonts w:ascii="宋体" w:hAnsi="宋体" w:eastAsia="宋体" w:cs="宋体"/>
          <w:color w:val="auto"/>
          <w:spacing w:val="5"/>
          <w:sz w:val="24"/>
          <w:szCs w:val="24"/>
          <w:highlight w:val="none"/>
        </w:rPr>
      </w:pPr>
      <w:r>
        <w:rPr>
          <w:rFonts w:ascii="宋体" w:hAnsi="宋体" w:eastAsia="宋体" w:cs="宋体"/>
          <w:color w:val="auto"/>
          <w:spacing w:val="5"/>
          <w:sz w:val="24"/>
          <w:szCs w:val="24"/>
          <w:highlight w:val="none"/>
        </w:rPr>
        <w:t>7.2 本次招标采用电子招标投标。</w:t>
      </w:r>
    </w:p>
    <w:p w14:paraId="1BE307E1">
      <w:pPr>
        <w:keepNext w:val="0"/>
        <w:keepLines w:val="0"/>
        <w:pageBreakBefore w:val="0"/>
        <w:widowControl w:val="0"/>
        <w:kinsoku/>
        <w:wordWrap/>
        <w:overflowPunct/>
        <w:topLinePunct w:val="0"/>
        <w:autoSpaceDE/>
        <w:autoSpaceDN/>
        <w:bidi w:val="0"/>
        <w:adjustRightInd/>
        <w:snapToGrid/>
        <w:spacing w:line="360" w:lineRule="auto"/>
        <w:ind w:firstLine="500" w:firstLineChars="200"/>
        <w:jc w:val="both"/>
        <w:textAlignment w:val="auto"/>
        <w:rPr>
          <w:rFonts w:ascii="宋体" w:hAnsi="宋体" w:eastAsia="宋体" w:cs="宋体"/>
          <w:color w:val="auto"/>
          <w:spacing w:val="5"/>
          <w:sz w:val="24"/>
          <w:szCs w:val="24"/>
          <w:highlight w:val="none"/>
        </w:rPr>
      </w:pPr>
      <w:r>
        <w:rPr>
          <w:rFonts w:ascii="宋体" w:hAnsi="宋体" w:eastAsia="宋体" w:cs="宋体"/>
          <w:color w:val="auto"/>
          <w:spacing w:val="5"/>
          <w:sz w:val="24"/>
          <w:szCs w:val="24"/>
          <w:highlight w:val="none"/>
        </w:rPr>
        <w:t>7.3 为避免影响投标人正常业务的开展，需办理 CA  数字证书业务，请各投标人及时办理（具体办理流程见《陕西省数字证书认证中心》网站），办理 CA 数字证书具体流程见陕西省工程建设交易（广联达）系统操作引导指南。</w:t>
      </w:r>
    </w:p>
    <w:p w14:paraId="5412D0E3">
      <w:pPr>
        <w:keepNext w:val="0"/>
        <w:keepLines w:val="0"/>
        <w:pageBreakBefore w:val="0"/>
        <w:widowControl w:val="0"/>
        <w:kinsoku/>
        <w:wordWrap/>
        <w:overflowPunct/>
        <w:topLinePunct w:val="0"/>
        <w:autoSpaceDE/>
        <w:autoSpaceDN/>
        <w:bidi w:val="0"/>
        <w:adjustRightInd/>
        <w:snapToGrid/>
        <w:spacing w:line="360" w:lineRule="auto"/>
        <w:ind w:firstLine="500" w:firstLineChars="200"/>
        <w:jc w:val="both"/>
        <w:textAlignment w:val="auto"/>
        <w:rPr>
          <w:rFonts w:ascii="宋体" w:hAnsi="宋体" w:eastAsia="宋体" w:cs="宋体"/>
          <w:color w:val="auto"/>
          <w:spacing w:val="5"/>
          <w:sz w:val="24"/>
          <w:szCs w:val="24"/>
          <w:highlight w:val="none"/>
        </w:rPr>
      </w:pPr>
      <w:r>
        <w:rPr>
          <w:rFonts w:ascii="宋体" w:hAnsi="宋体" w:eastAsia="宋体" w:cs="宋体"/>
          <w:color w:val="auto"/>
          <w:spacing w:val="5"/>
          <w:sz w:val="24"/>
          <w:szCs w:val="24"/>
          <w:highlight w:val="none"/>
        </w:rPr>
        <w:t>7.4 在购买纸质招标文件之前，投标人需在全国公共资源交易平台（陕西省）（</w:t>
      </w:r>
      <w:r>
        <w:rPr>
          <w:rFonts w:ascii="宋体" w:hAnsi="宋体" w:eastAsia="宋体" w:cs="宋体"/>
          <w:color w:val="auto"/>
          <w:spacing w:val="5"/>
          <w:sz w:val="24"/>
          <w:szCs w:val="24"/>
          <w:highlight w:val="none"/>
        </w:rPr>
        <w:fldChar w:fldCharType="begin"/>
      </w:r>
      <w:r>
        <w:rPr>
          <w:rFonts w:ascii="宋体" w:hAnsi="宋体" w:eastAsia="宋体" w:cs="宋体"/>
          <w:color w:val="auto"/>
          <w:spacing w:val="5"/>
          <w:sz w:val="24"/>
          <w:szCs w:val="24"/>
          <w:highlight w:val="none"/>
        </w:rPr>
        <w:instrText xml:space="preserve"> HYPERLINK "http://ggzy.baoji.gov.cn/" </w:instrText>
      </w:r>
      <w:r>
        <w:rPr>
          <w:rFonts w:ascii="宋体" w:hAnsi="宋体" w:eastAsia="宋体" w:cs="宋体"/>
          <w:color w:val="auto"/>
          <w:spacing w:val="5"/>
          <w:sz w:val="24"/>
          <w:szCs w:val="24"/>
          <w:highlight w:val="none"/>
        </w:rPr>
        <w:fldChar w:fldCharType="separate"/>
      </w:r>
      <w:r>
        <w:rPr>
          <w:rFonts w:ascii="宋体" w:hAnsi="宋体" w:eastAsia="宋体" w:cs="宋体"/>
          <w:color w:val="auto"/>
          <w:spacing w:val="5"/>
          <w:sz w:val="24"/>
          <w:szCs w:val="24"/>
          <w:highlight w:val="none"/>
        </w:rPr>
        <w:t>http://</w:t>
      </w:r>
      <w:r>
        <w:rPr>
          <w:rFonts w:hint="eastAsia" w:ascii="宋体" w:hAnsi="宋体" w:eastAsia="宋体" w:cs="宋体"/>
          <w:color w:val="auto"/>
          <w:spacing w:val="5"/>
          <w:sz w:val="24"/>
          <w:szCs w:val="24"/>
          <w:highlight w:val="none"/>
        </w:rPr>
        <w:t>www.sxggzyjy.cn</w:t>
      </w:r>
      <w:r>
        <w:rPr>
          <w:rFonts w:ascii="宋体" w:hAnsi="宋体" w:eastAsia="宋体" w:cs="宋体"/>
          <w:color w:val="auto"/>
          <w:spacing w:val="5"/>
          <w:sz w:val="24"/>
          <w:szCs w:val="24"/>
          <w:highlight w:val="none"/>
        </w:rPr>
        <w:t>/</w:t>
      </w:r>
      <w:r>
        <w:rPr>
          <w:rFonts w:ascii="宋体" w:hAnsi="宋体" w:eastAsia="宋体" w:cs="宋体"/>
          <w:color w:val="auto"/>
          <w:spacing w:val="5"/>
          <w:sz w:val="24"/>
          <w:szCs w:val="24"/>
          <w:highlight w:val="none"/>
        </w:rPr>
        <w:fldChar w:fldCharType="end"/>
      </w:r>
      <w:r>
        <w:rPr>
          <w:rFonts w:ascii="宋体" w:hAnsi="宋体" w:eastAsia="宋体" w:cs="宋体"/>
          <w:color w:val="auto"/>
          <w:spacing w:val="5"/>
          <w:sz w:val="24"/>
          <w:szCs w:val="24"/>
          <w:highlight w:val="none"/>
        </w:rPr>
        <w:t>）进行网上投标确认并打印网上投标确认单。购买纸质文件并经线下缴费确认后，投标人可在全国公共资源交易平台（陕西省）查看、下载电子版招标文件及补遗书等其他相关文件。</w:t>
      </w:r>
    </w:p>
    <w:p w14:paraId="23A9BA30">
      <w:pPr>
        <w:keepNext w:val="0"/>
        <w:keepLines w:val="0"/>
        <w:pageBreakBefore w:val="0"/>
        <w:widowControl w:val="0"/>
        <w:kinsoku/>
        <w:wordWrap/>
        <w:overflowPunct/>
        <w:topLinePunct w:val="0"/>
        <w:autoSpaceDE/>
        <w:autoSpaceDN/>
        <w:bidi w:val="0"/>
        <w:adjustRightInd/>
        <w:snapToGrid/>
        <w:spacing w:line="360" w:lineRule="auto"/>
        <w:ind w:firstLine="500" w:firstLineChars="200"/>
        <w:jc w:val="both"/>
        <w:textAlignment w:val="auto"/>
        <w:rPr>
          <w:rFonts w:ascii="宋体" w:hAnsi="宋体" w:eastAsia="宋体" w:cs="宋体"/>
          <w:color w:val="auto"/>
          <w:spacing w:val="5"/>
          <w:sz w:val="24"/>
          <w:szCs w:val="24"/>
          <w:highlight w:val="none"/>
        </w:rPr>
      </w:pPr>
      <w:r>
        <w:rPr>
          <w:rFonts w:ascii="宋体" w:hAnsi="宋体" w:eastAsia="宋体" w:cs="宋体"/>
          <w:color w:val="auto"/>
          <w:spacing w:val="5"/>
          <w:sz w:val="24"/>
          <w:szCs w:val="24"/>
          <w:highlight w:val="none"/>
        </w:rPr>
        <w:t>7.5 在投标截止时间前使用 CA  数字证书登录全国公共资源交易平台（陕西省），上传加密的电子投标文件，并在开标时携带 CA  加密锁对上传的投标文件在现场进行解密。</w:t>
      </w:r>
    </w:p>
    <w:p w14:paraId="0FC06E90">
      <w:pPr>
        <w:keepNext w:val="0"/>
        <w:keepLines w:val="0"/>
        <w:pageBreakBefore w:val="0"/>
        <w:widowControl w:val="0"/>
        <w:kinsoku/>
        <w:wordWrap/>
        <w:overflowPunct/>
        <w:topLinePunct w:val="0"/>
        <w:autoSpaceDE/>
        <w:autoSpaceDN/>
        <w:bidi w:val="0"/>
        <w:adjustRightInd/>
        <w:snapToGrid/>
        <w:spacing w:line="360" w:lineRule="auto"/>
        <w:ind w:firstLine="500" w:firstLineChars="200"/>
        <w:jc w:val="both"/>
        <w:textAlignment w:val="auto"/>
        <w:rPr>
          <w:rFonts w:ascii="宋体" w:hAnsi="宋体" w:eastAsia="宋体" w:cs="宋体"/>
          <w:color w:val="auto"/>
          <w:spacing w:val="5"/>
          <w:sz w:val="24"/>
          <w:szCs w:val="24"/>
          <w:highlight w:val="none"/>
        </w:rPr>
      </w:pPr>
      <w:r>
        <w:rPr>
          <w:rFonts w:ascii="宋体" w:hAnsi="宋体" w:eastAsia="宋体" w:cs="宋体"/>
          <w:color w:val="auto"/>
          <w:spacing w:val="5"/>
          <w:sz w:val="24"/>
          <w:szCs w:val="24"/>
          <w:highlight w:val="none"/>
        </w:rPr>
        <w:t>7.6 投标人需在规定时间内完成相关投标前期事项的办理，因投标人原因导致无法投标，投标人自行负责。</w:t>
      </w:r>
    </w:p>
    <w:p w14:paraId="5A43B67C">
      <w:pPr>
        <w:keepNext w:val="0"/>
        <w:keepLines w:val="0"/>
        <w:pageBreakBefore w:val="0"/>
        <w:widowControl w:val="0"/>
        <w:kinsoku/>
        <w:wordWrap/>
        <w:overflowPunct/>
        <w:topLinePunct w:val="0"/>
        <w:autoSpaceDE/>
        <w:autoSpaceDN/>
        <w:bidi w:val="0"/>
        <w:adjustRightInd/>
        <w:snapToGrid/>
        <w:spacing w:line="360" w:lineRule="auto"/>
        <w:ind w:firstLine="500" w:firstLineChars="200"/>
        <w:jc w:val="both"/>
        <w:textAlignment w:val="auto"/>
        <w:rPr>
          <w:rFonts w:hint="default" w:ascii="宋体" w:hAnsi="宋体" w:eastAsia="宋体" w:cs="宋体"/>
          <w:color w:val="auto"/>
          <w:spacing w:val="5"/>
          <w:sz w:val="24"/>
          <w:szCs w:val="24"/>
          <w:highlight w:val="none"/>
          <w:lang w:val="en-US" w:eastAsia="zh-CN"/>
        </w:rPr>
      </w:pPr>
      <w:r>
        <w:rPr>
          <w:rFonts w:hint="eastAsia" w:ascii="宋体" w:hAnsi="宋体" w:eastAsia="宋体" w:cs="宋体"/>
          <w:color w:val="auto"/>
          <w:spacing w:val="5"/>
          <w:sz w:val="24"/>
          <w:szCs w:val="24"/>
          <w:highlight w:val="none"/>
          <w:lang w:val="en-US" w:eastAsia="zh-CN"/>
        </w:rPr>
        <w:t>7.7 监督单位：宝鸡市交通运输局   0917-3806385</w:t>
      </w:r>
    </w:p>
    <w:p w14:paraId="1D626125">
      <w:pPr>
        <w:spacing w:before="1" w:line="220" w:lineRule="auto"/>
        <w:ind w:left="478"/>
        <w:rPr>
          <w:rFonts w:ascii="宋体" w:hAnsi="宋体" w:eastAsia="宋体" w:cs="宋体"/>
          <w:color w:val="auto"/>
          <w:sz w:val="24"/>
          <w:szCs w:val="24"/>
          <w:highlight w:val="none"/>
        </w:rPr>
      </w:pPr>
      <w:r>
        <w:rPr>
          <w:rFonts w:ascii="Calibri" w:hAnsi="Calibri" w:eastAsia="Calibri" w:cs="Calibri"/>
          <w:b/>
          <w:bCs/>
          <w:color w:val="auto"/>
          <w:spacing w:val="-3"/>
          <w:sz w:val="24"/>
          <w:szCs w:val="24"/>
          <w:highlight w:val="none"/>
        </w:rPr>
        <w:t>8.</w:t>
      </w:r>
      <w:r>
        <w:rPr>
          <w:rFonts w:ascii="宋体" w:hAnsi="宋体" w:eastAsia="宋体" w:cs="宋体"/>
          <w:b/>
          <w:bCs/>
          <w:color w:val="auto"/>
          <w:spacing w:val="-3"/>
          <w:sz w:val="24"/>
          <w:szCs w:val="24"/>
          <w:highlight w:val="none"/>
        </w:rPr>
        <w:t>联系方式</w:t>
      </w:r>
    </w:p>
    <w:p w14:paraId="463E570C">
      <w:pPr>
        <w:spacing w:before="181" w:line="219" w:lineRule="auto"/>
        <w:ind w:left="48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招标人：陕西交控宝鸡北过境钓磻高速公路有限公司</w:t>
      </w:r>
    </w:p>
    <w:p w14:paraId="233CA3BD">
      <w:pPr>
        <w:spacing w:before="166" w:line="219" w:lineRule="auto"/>
        <w:ind w:left="48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地址：陕西省宝鸡市渭滨区马营镇站南大道</w:t>
      </w:r>
      <w:r>
        <w:rPr>
          <w:rFonts w:ascii="宋体" w:hAnsi="宋体" w:eastAsia="宋体" w:cs="宋体"/>
          <w:color w:val="auto"/>
          <w:spacing w:val="-27"/>
          <w:sz w:val="24"/>
          <w:szCs w:val="24"/>
          <w:highlight w:val="none"/>
        </w:rPr>
        <w:t xml:space="preserve"> </w:t>
      </w:r>
      <w:r>
        <w:rPr>
          <w:rFonts w:ascii="Times New Roman" w:hAnsi="Times New Roman" w:eastAsia="Times New Roman" w:cs="Times New Roman"/>
          <w:color w:val="auto"/>
          <w:spacing w:val="-2"/>
          <w:sz w:val="24"/>
          <w:szCs w:val="24"/>
          <w:highlight w:val="none"/>
        </w:rPr>
        <w:t>10</w:t>
      </w:r>
      <w:r>
        <w:rPr>
          <w:rFonts w:ascii="Times New Roman" w:hAnsi="Times New Roman" w:eastAsia="Times New Roman" w:cs="Times New Roman"/>
          <w:color w:val="auto"/>
          <w:spacing w:val="15"/>
          <w:w w:val="101"/>
          <w:sz w:val="24"/>
          <w:szCs w:val="24"/>
          <w:highlight w:val="none"/>
        </w:rPr>
        <w:t xml:space="preserve"> </w:t>
      </w:r>
      <w:r>
        <w:rPr>
          <w:rFonts w:ascii="宋体" w:hAnsi="宋体" w:eastAsia="宋体" w:cs="宋体"/>
          <w:color w:val="auto"/>
          <w:spacing w:val="-2"/>
          <w:sz w:val="24"/>
          <w:szCs w:val="24"/>
          <w:highlight w:val="none"/>
        </w:rPr>
        <w:t>号</w:t>
      </w:r>
    </w:p>
    <w:p w14:paraId="73555637">
      <w:pPr>
        <w:spacing w:before="166" w:line="219" w:lineRule="auto"/>
        <w:ind w:left="498"/>
        <w:rPr>
          <w:rFonts w:ascii="Times New Roman" w:hAnsi="Times New Roman" w:eastAsia="Times New Roman" w:cs="Times New Roman"/>
          <w:color w:val="auto"/>
          <w:sz w:val="24"/>
          <w:szCs w:val="24"/>
          <w:highlight w:val="none"/>
        </w:rPr>
      </w:pPr>
      <w:r>
        <w:rPr>
          <w:rFonts w:ascii="宋体" w:hAnsi="宋体" w:eastAsia="宋体" w:cs="宋体"/>
          <w:color w:val="auto"/>
          <w:spacing w:val="-5"/>
          <w:sz w:val="24"/>
          <w:szCs w:val="24"/>
          <w:highlight w:val="none"/>
        </w:rPr>
        <w:t>邮政编码：</w:t>
      </w:r>
      <w:r>
        <w:rPr>
          <w:rFonts w:ascii="Times New Roman" w:hAnsi="Times New Roman" w:eastAsia="Times New Roman" w:cs="Times New Roman"/>
          <w:color w:val="auto"/>
          <w:spacing w:val="-5"/>
          <w:sz w:val="24"/>
          <w:szCs w:val="24"/>
          <w:highlight w:val="none"/>
        </w:rPr>
        <w:t>/</w:t>
      </w:r>
    </w:p>
    <w:p w14:paraId="7CBEAD23">
      <w:pPr>
        <w:spacing w:before="166" w:line="220" w:lineRule="auto"/>
        <w:ind w:left="48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联系人：张晓辉</w:t>
      </w:r>
    </w:p>
    <w:p w14:paraId="134B2BAC">
      <w:pPr>
        <w:spacing w:before="166" w:line="221" w:lineRule="auto"/>
        <w:ind w:left="509"/>
        <w:rPr>
          <w:rFonts w:ascii="Times New Roman" w:hAnsi="Times New Roman" w:eastAsia="Times New Roman" w:cs="Times New Roman"/>
          <w:color w:val="auto"/>
          <w:sz w:val="24"/>
          <w:szCs w:val="24"/>
          <w:highlight w:val="none"/>
        </w:rPr>
      </w:pPr>
      <w:r>
        <w:rPr>
          <w:rFonts w:ascii="宋体" w:hAnsi="宋体" w:eastAsia="宋体" w:cs="宋体"/>
          <w:color w:val="auto"/>
          <w:spacing w:val="-3"/>
          <w:sz w:val="24"/>
          <w:szCs w:val="24"/>
          <w:highlight w:val="none"/>
        </w:rPr>
        <w:t>电话：</w:t>
      </w:r>
      <w:r>
        <w:rPr>
          <w:rFonts w:ascii="Times New Roman" w:hAnsi="Times New Roman" w:eastAsia="Times New Roman" w:cs="Times New Roman"/>
          <w:color w:val="auto"/>
          <w:spacing w:val="-3"/>
          <w:sz w:val="24"/>
          <w:szCs w:val="24"/>
          <w:highlight w:val="none"/>
        </w:rPr>
        <w:t>0917-3786950</w:t>
      </w:r>
    </w:p>
    <w:p w14:paraId="72C9C516">
      <w:pPr>
        <w:spacing w:before="181" w:line="219" w:lineRule="auto"/>
        <w:ind w:left="509"/>
        <w:rPr>
          <w:rFonts w:ascii="Times New Roman" w:hAnsi="Times New Roman" w:eastAsia="Times New Roman" w:cs="Times New Roman"/>
          <w:color w:val="auto"/>
          <w:sz w:val="24"/>
          <w:szCs w:val="24"/>
          <w:highlight w:val="none"/>
        </w:rPr>
      </w:pPr>
      <w:r>
        <w:rPr>
          <w:rFonts w:ascii="宋体" w:hAnsi="宋体" w:eastAsia="宋体" w:cs="宋体"/>
          <w:color w:val="auto"/>
          <w:spacing w:val="-7"/>
          <w:sz w:val="24"/>
          <w:szCs w:val="24"/>
          <w:highlight w:val="none"/>
        </w:rPr>
        <w:t>电子邮件：</w:t>
      </w:r>
      <w:r>
        <w:rPr>
          <w:rFonts w:ascii="Times New Roman" w:hAnsi="Times New Roman" w:eastAsia="Times New Roman" w:cs="Times New Roman"/>
          <w:color w:val="auto"/>
          <w:spacing w:val="-7"/>
          <w:sz w:val="24"/>
          <w:szCs w:val="24"/>
          <w:highlight w:val="none"/>
        </w:rPr>
        <w:t>/</w:t>
      </w:r>
    </w:p>
    <w:p w14:paraId="7F623684">
      <w:pPr>
        <w:pStyle w:val="2"/>
        <w:spacing w:line="256" w:lineRule="auto"/>
        <w:rPr>
          <w:color w:val="auto"/>
          <w:highlight w:val="none"/>
        </w:rPr>
      </w:pPr>
    </w:p>
    <w:p w14:paraId="211088F1">
      <w:pPr>
        <w:pStyle w:val="2"/>
        <w:spacing w:line="257" w:lineRule="auto"/>
        <w:rPr>
          <w:color w:val="auto"/>
          <w:highlight w:val="none"/>
        </w:rPr>
      </w:pPr>
    </w:p>
    <w:p w14:paraId="13EAB56A">
      <w:pPr>
        <w:spacing w:before="79" w:line="219" w:lineRule="auto"/>
        <w:ind w:left="48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招标代理机构：陕西正大项目管理咨询有限公司</w:t>
      </w:r>
    </w:p>
    <w:p w14:paraId="404C4375">
      <w:pPr>
        <w:spacing w:before="181" w:line="219" w:lineRule="auto"/>
        <w:ind w:left="480"/>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地址：宝鸡市宝虢路</w:t>
      </w:r>
      <w:r>
        <w:rPr>
          <w:rFonts w:ascii="宋体" w:hAnsi="宋体" w:eastAsia="宋体" w:cs="宋体"/>
          <w:color w:val="auto"/>
          <w:spacing w:val="-36"/>
          <w:sz w:val="24"/>
          <w:szCs w:val="24"/>
          <w:highlight w:val="none"/>
        </w:rPr>
        <w:t xml:space="preserve"> </w:t>
      </w:r>
      <w:r>
        <w:rPr>
          <w:rFonts w:ascii="Times New Roman" w:hAnsi="Times New Roman" w:eastAsia="Times New Roman" w:cs="Times New Roman"/>
          <w:color w:val="auto"/>
          <w:spacing w:val="-4"/>
          <w:sz w:val="24"/>
          <w:szCs w:val="24"/>
          <w:highlight w:val="none"/>
        </w:rPr>
        <w:t>80</w:t>
      </w:r>
      <w:r>
        <w:rPr>
          <w:rFonts w:ascii="Times New Roman" w:hAnsi="Times New Roman" w:eastAsia="Times New Roman" w:cs="Times New Roman"/>
          <w:color w:val="auto"/>
          <w:spacing w:val="16"/>
          <w:sz w:val="24"/>
          <w:szCs w:val="24"/>
          <w:highlight w:val="none"/>
        </w:rPr>
        <w:t xml:space="preserve"> </w:t>
      </w:r>
      <w:r>
        <w:rPr>
          <w:rFonts w:ascii="宋体" w:hAnsi="宋体" w:eastAsia="宋体" w:cs="宋体"/>
          <w:color w:val="auto"/>
          <w:spacing w:val="-4"/>
          <w:sz w:val="24"/>
          <w:szCs w:val="24"/>
          <w:highlight w:val="none"/>
        </w:rPr>
        <w:t>号鹏博财富中心</w:t>
      </w:r>
      <w:r>
        <w:rPr>
          <w:rFonts w:ascii="宋体" w:hAnsi="宋体" w:eastAsia="宋体" w:cs="宋体"/>
          <w:color w:val="auto"/>
          <w:spacing w:val="-50"/>
          <w:sz w:val="24"/>
          <w:szCs w:val="24"/>
          <w:highlight w:val="none"/>
        </w:rPr>
        <w:t xml:space="preserve"> </w:t>
      </w:r>
      <w:r>
        <w:rPr>
          <w:rFonts w:ascii="Times New Roman" w:hAnsi="Times New Roman" w:eastAsia="Times New Roman" w:cs="Times New Roman"/>
          <w:color w:val="auto"/>
          <w:spacing w:val="-4"/>
          <w:sz w:val="24"/>
          <w:szCs w:val="24"/>
          <w:highlight w:val="none"/>
        </w:rPr>
        <w:t>6</w:t>
      </w:r>
      <w:r>
        <w:rPr>
          <w:rFonts w:ascii="Times New Roman" w:hAnsi="Times New Roman" w:eastAsia="Times New Roman" w:cs="Times New Roman"/>
          <w:color w:val="auto"/>
          <w:spacing w:val="15"/>
          <w:sz w:val="24"/>
          <w:szCs w:val="24"/>
          <w:highlight w:val="none"/>
        </w:rPr>
        <w:t xml:space="preserve"> </w:t>
      </w:r>
      <w:r>
        <w:rPr>
          <w:rFonts w:ascii="宋体" w:hAnsi="宋体" w:eastAsia="宋体" w:cs="宋体"/>
          <w:color w:val="auto"/>
          <w:spacing w:val="-4"/>
          <w:sz w:val="24"/>
          <w:szCs w:val="24"/>
          <w:highlight w:val="none"/>
        </w:rPr>
        <w:t>号楼</w:t>
      </w:r>
      <w:r>
        <w:rPr>
          <w:rFonts w:ascii="宋体" w:hAnsi="宋体" w:eastAsia="宋体" w:cs="宋体"/>
          <w:color w:val="auto"/>
          <w:spacing w:val="-32"/>
          <w:sz w:val="24"/>
          <w:szCs w:val="24"/>
          <w:highlight w:val="none"/>
        </w:rPr>
        <w:t xml:space="preserve"> </w:t>
      </w:r>
      <w:r>
        <w:rPr>
          <w:rFonts w:ascii="Times New Roman" w:hAnsi="Times New Roman" w:eastAsia="Times New Roman" w:cs="Times New Roman"/>
          <w:color w:val="auto"/>
          <w:spacing w:val="-4"/>
          <w:sz w:val="24"/>
          <w:szCs w:val="24"/>
          <w:highlight w:val="none"/>
        </w:rPr>
        <w:t>1302</w:t>
      </w:r>
      <w:r>
        <w:rPr>
          <w:rFonts w:ascii="Times New Roman" w:hAnsi="Times New Roman" w:eastAsia="Times New Roman" w:cs="Times New Roman"/>
          <w:color w:val="auto"/>
          <w:spacing w:val="15"/>
          <w:w w:val="101"/>
          <w:sz w:val="24"/>
          <w:szCs w:val="24"/>
          <w:highlight w:val="none"/>
        </w:rPr>
        <w:t xml:space="preserve"> </w:t>
      </w:r>
      <w:r>
        <w:rPr>
          <w:rFonts w:ascii="宋体" w:hAnsi="宋体" w:eastAsia="宋体" w:cs="宋体"/>
          <w:color w:val="auto"/>
          <w:spacing w:val="-4"/>
          <w:sz w:val="24"/>
          <w:szCs w:val="24"/>
          <w:highlight w:val="none"/>
        </w:rPr>
        <w:t>号</w:t>
      </w:r>
    </w:p>
    <w:p w14:paraId="76C9E566">
      <w:pPr>
        <w:spacing w:before="184" w:line="219" w:lineRule="auto"/>
        <w:ind w:left="498"/>
        <w:rPr>
          <w:rFonts w:ascii="Times New Roman" w:hAnsi="Times New Roman" w:eastAsia="Times New Roman" w:cs="Times New Roman"/>
          <w:color w:val="auto"/>
          <w:sz w:val="24"/>
          <w:szCs w:val="24"/>
          <w:highlight w:val="none"/>
        </w:rPr>
      </w:pPr>
      <w:r>
        <w:rPr>
          <w:rFonts w:ascii="宋体" w:hAnsi="宋体" w:eastAsia="宋体" w:cs="宋体"/>
          <w:color w:val="auto"/>
          <w:spacing w:val="-3"/>
          <w:sz w:val="24"/>
          <w:szCs w:val="24"/>
          <w:highlight w:val="none"/>
        </w:rPr>
        <w:t>邮政编码：</w:t>
      </w:r>
      <w:r>
        <w:rPr>
          <w:rFonts w:ascii="Times New Roman" w:hAnsi="Times New Roman" w:eastAsia="Times New Roman" w:cs="Times New Roman"/>
          <w:color w:val="auto"/>
          <w:spacing w:val="-3"/>
          <w:sz w:val="24"/>
          <w:szCs w:val="24"/>
          <w:highlight w:val="none"/>
        </w:rPr>
        <w:t>710004</w:t>
      </w:r>
    </w:p>
    <w:p w14:paraId="0692C28B">
      <w:pPr>
        <w:spacing w:before="181" w:line="219" w:lineRule="auto"/>
        <w:ind w:left="48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联系人：罗玲娟  康红苗  段萍莉</w:t>
      </w:r>
      <w:r>
        <w:rPr>
          <w:rFonts w:ascii="宋体" w:hAnsi="宋体" w:eastAsia="宋体" w:cs="宋体"/>
          <w:color w:val="auto"/>
          <w:spacing w:val="14"/>
          <w:sz w:val="24"/>
          <w:szCs w:val="24"/>
          <w:highlight w:val="none"/>
        </w:rPr>
        <w:t xml:space="preserve">  </w:t>
      </w:r>
      <w:r>
        <w:rPr>
          <w:rFonts w:ascii="宋体" w:hAnsi="宋体" w:eastAsia="宋体" w:cs="宋体"/>
          <w:color w:val="auto"/>
          <w:spacing w:val="-2"/>
          <w:sz w:val="24"/>
          <w:szCs w:val="24"/>
          <w:highlight w:val="none"/>
        </w:rPr>
        <w:t>胡建徽</w:t>
      </w:r>
    </w:p>
    <w:p w14:paraId="59627E18">
      <w:pPr>
        <w:spacing w:before="183" w:line="221" w:lineRule="auto"/>
        <w:ind w:left="509"/>
        <w:rPr>
          <w:rFonts w:ascii="Times New Roman" w:hAnsi="Times New Roman" w:eastAsia="Times New Roman" w:cs="Times New Roman"/>
          <w:color w:val="auto"/>
          <w:spacing w:val="-3"/>
          <w:sz w:val="24"/>
          <w:szCs w:val="24"/>
          <w:highlight w:val="none"/>
        </w:rPr>
      </w:pPr>
      <w:r>
        <w:rPr>
          <w:rFonts w:ascii="宋体" w:hAnsi="宋体" w:eastAsia="宋体" w:cs="宋体"/>
          <w:color w:val="auto"/>
          <w:spacing w:val="-3"/>
          <w:sz w:val="24"/>
          <w:szCs w:val="24"/>
          <w:highlight w:val="none"/>
        </w:rPr>
        <w:t>电话：</w:t>
      </w:r>
      <w:r>
        <w:rPr>
          <w:rFonts w:ascii="Times New Roman" w:hAnsi="Times New Roman" w:eastAsia="Times New Roman" w:cs="Times New Roman"/>
          <w:color w:val="auto"/>
          <w:spacing w:val="-3"/>
          <w:sz w:val="24"/>
          <w:szCs w:val="24"/>
          <w:highlight w:val="none"/>
        </w:rPr>
        <w:t>0917-3366779</w:t>
      </w:r>
    </w:p>
    <w:p w14:paraId="607F41AC">
      <w:pPr>
        <w:spacing w:before="183" w:line="221" w:lineRule="auto"/>
        <w:ind w:left="509"/>
      </w:pPr>
      <w:r>
        <w:rPr>
          <w:rFonts w:ascii="宋体" w:hAnsi="宋体" w:eastAsia="宋体" w:cs="宋体"/>
          <w:color w:val="auto"/>
          <w:spacing w:val="-2"/>
          <w:sz w:val="24"/>
          <w:szCs w:val="24"/>
          <w:highlight w:val="none"/>
        </w:rPr>
        <w:t>电子邮件：</w:t>
      </w:r>
      <w:r>
        <w:rPr>
          <w:color w:val="auto"/>
          <w:highlight w:val="none"/>
        </w:rPr>
        <w:fldChar w:fldCharType="begin"/>
      </w:r>
      <w:r>
        <w:rPr>
          <w:color w:val="auto"/>
          <w:highlight w:val="none"/>
        </w:rPr>
        <w:instrText xml:space="preserve"> HYPERLINK "zdzx2003@163.com" </w:instrText>
      </w:r>
      <w:r>
        <w:rPr>
          <w:color w:val="auto"/>
          <w:highlight w:val="none"/>
        </w:rPr>
        <w:fldChar w:fldCharType="separate"/>
      </w:r>
      <w:r>
        <w:rPr>
          <w:rFonts w:ascii="Times New Roman" w:hAnsi="Times New Roman" w:eastAsia="Times New Roman" w:cs="Times New Roman"/>
          <w:color w:val="auto"/>
          <w:spacing w:val="-2"/>
          <w:sz w:val="24"/>
          <w:szCs w:val="24"/>
          <w:highlight w:val="none"/>
        </w:rPr>
        <w:t>zdzx2003@163.com</w:t>
      </w:r>
      <w:r>
        <w:rPr>
          <w:rFonts w:ascii="Times New Roman" w:hAnsi="Times New Roman" w:eastAsia="Times New Roman" w:cs="Times New Roman"/>
          <w:color w:val="auto"/>
          <w:spacing w:val="-2"/>
          <w:sz w:val="24"/>
          <w:szCs w:val="24"/>
          <w:highlight w:val="none"/>
        </w:rP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A05E1C"/>
    <w:rsid w:val="7EA05E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customStyle="1" w:styleId="5">
    <w:name w:val="Table Text"/>
    <w:basedOn w:val="1"/>
    <w:semiHidden/>
    <w:qFormat/>
    <w:uiPriority w:val="0"/>
    <w:rPr>
      <w:rFonts w:ascii="宋体" w:hAnsi="宋体" w:eastAsia="宋体" w:cs="宋体"/>
      <w:sz w:val="22"/>
      <w:szCs w:val="22"/>
      <w:lang w:val="en-US" w:eastAsia="en-US" w:bidi="ar-SA"/>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2026-09-28T08:01:00Z</dcterms:created>
  <dc:creator>工作中</dc:creator>
  <cp:lastModifiedBy>工作中</cp:lastModifiedBy>
  <dcterms:modified xsi:type="dcterms:W3CDTF">2026-09-28T08:04:49Z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EA5A9A892B2543339858FC8BE527A19F_11</vt:lpwstr>
  </property>
  <property fmtid="{D5CDD505-2E9C-101B-9397-08002B2CF9AE}" pid="4" name="KSOTemplateDocerSaveRecord">
    <vt:lpwstr>eyJoZGlkIjoiNGFkOTQyNzFhZTcxNzNmNWM4YzM2YzBiNmUyZTJjMTgiLCJ1c2VySWQiOiI0MzkyOTU4NDAifQ==</vt:lpwstr>
  </property>
</Properties>
</file>